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1D4F" w14:textId="4A12B98C" w:rsidR="00D87AA7" w:rsidRPr="001933D8" w:rsidRDefault="001933D8" w:rsidP="001933D8">
      <w:pPr>
        <w:pStyle w:val="VRQADocumentTitle"/>
        <w:rPr>
          <w:lang w:val="en-AU"/>
        </w:rPr>
      </w:pPr>
      <w:r w:rsidRPr="001933D8">
        <w:t xml:space="preserve">Enforceable </w:t>
      </w:r>
      <w:r w:rsidR="0041195B">
        <w:t>u</w:t>
      </w:r>
      <w:r w:rsidRPr="001933D8">
        <w:t xml:space="preserve">ndertaking </w:t>
      </w:r>
      <w:r w:rsidR="0041195B">
        <w:t>p</w:t>
      </w:r>
      <w:r w:rsidRPr="001933D8">
        <w:t>olicy</w:t>
      </w:r>
    </w:p>
    <w:p w14:paraId="393260B0" w14:textId="77777777" w:rsidR="001933D8" w:rsidRPr="001933D8" w:rsidRDefault="001933D8" w:rsidP="001933D8">
      <w:pPr>
        <w:pStyle w:val="VRQASubheading1"/>
        <w:rPr>
          <w:lang w:val="en-AU"/>
        </w:rPr>
      </w:pPr>
      <w:r w:rsidRPr="001933D8">
        <w:rPr>
          <w:lang w:val="en-AU"/>
        </w:rPr>
        <w:t>What is an enforceable undertaking?</w:t>
      </w:r>
    </w:p>
    <w:p w14:paraId="5CB41009" w14:textId="2D7761B0" w:rsidR="001933D8" w:rsidRPr="001933D8" w:rsidRDefault="001933D8" w:rsidP="001933D8">
      <w:pPr>
        <w:pStyle w:val="VRQABodyText"/>
      </w:pPr>
      <w:r w:rsidRPr="001933D8">
        <w:t xml:space="preserve">An enforceable undertaking is a written agreement between the Victorian Registration and Qualifications Authority (VRQA) and a provider, person or body which involves the provider, person or body undertaking to do a particular action to </w:t>
      </w:r>
      <w:proofErr w:type="gramStart"/>
      <w:r w:rsidRPr="001933D8">
        <w:t>comply, or</w:t>
      </w:r>
      <w:proofErr w:type="gramEnd"/>
      <w:r w:rsidRPr="001933D8">
        <w:t xml:space="preserve"> cease or refrain from acting in a way that does not comply, with the relevant standards or requirements.</w:t>
      </w:r>
      <w:r w:rsidR="00BA2952" w:rsidRPr="00BA2952">
        <w:rPr>
          <w:rStyle w:val="FootnoteReference"/>
        </w:rPr>
        <w:t xml:space="preserve"> </w:t>
      </w:r>
      <w:r w:rsidR="00BA2952">
        <w:rPr>
          <w:rStyle w:val="FootnoteReference"/>
        </w:rPr>
        <w:footnoteReference w:id="1"/>
      </w:r>
    </w:p>
    <w:p w14:paraId="02D809C8" w14:textId="77777777" w:rsidR="001933D8" w:rsidRPr="001933D8" w:rsidRDefault="001933D8" w:rsidP="001933D8">
      <w:pPr>
        <w:pStyle w:val="VRQABodyText"/>
      </w:pPr>
      <w:r w:rsidRPr="001933D8">
        <w:t xml:space="preserve">If the undertaking is breached, the VRQA may enforce it by going to court. </w:t>
      </w:r>
    </w:p>
    <w:p w14:paraId="34FBEF56" w14:textId="77777777" w:rsidR="001933D8" w:rsidRPr="001933D8" w:rsidRDefault="001933D8" w:rsidP="001933D8">
      <w:pPr>
        <w:pStyle w:val="VRQABodyText"/>
      </w:pPr>
      <w:r w:rsidRPr="001933D8">
        <w:t xml:space="preserve"> Enforceable undertakings are set out in the </w:t>
      </w:r>
      <w:r w:rsidRPr="00C32FA7">
        <w:rPr>
          <w:i/>
          <w:iCs/>
        </w:rPr>
        <w:t>Education and Training Reform Act 2006</w:t>
      </w:r>
      <w:r w:rsidRPr="001933D8">
        <w:t xml:space="preserve"> (the Act), as follows:</w:t>
      </w:r>
    </w:p>
    <w:p w14:paraId="40197A21" w14:textId="67080013" w:rsidR="001933D8" w:rsidRPr="001933D8" w:rsidRDefault="001933D8" w:rsidP="00C45A54">
      <w:pPr>
        <w:pStyle w:val="VRQABullet1"/>
        <w:spacing w:after="240"/>
        <w:ind w:left="357" w:hanging="357"/>
        <w:contextualSpacing w:val="0"/>
      </w:pPr>
      <w:r w:rsidRPr="001933D8">
        <w:t xml:space="preserve">section 4.3.3A of the Act gives the VRQA power to accept an undertaking given by </w:t>
      </w:r>
      <w:r w:rsidRPr="00694807">
        <w:rPr>
          <w:b/>
          <w:bCs/>
        </w:rPr>
        <w:t>the proprietor or principal of a registered school under review by the VRQA</w:t>
      </w:r>
    </w:p>
    <w:p w14:paraId="3ECC74B2" w14:textId="33180BFF" w:rsidR="001933D8" w:rsidRPr="001933D8" w:rsidRDefault="001933D8" w:rsidP="00C45A54">
      <w:pPr>
        <w:pStyle w:val="VRQABullet1"/>
        <w:spacing w:after="240"/>
        <w:ind w:hanging="357"/>
        <w:contextualSpacing w:val="0"/>
      </w:pPr>
      <w:r w:rsidRPr="001933D8">
        <w:t xml:space="preserve">section 4.3.8J of the Act gives the VRQA power to accept an undertaking given by </w:t>
      </w:r>
      <w:r w:rsidRPr="00694807">
        <w:rPr>
          <w:b/>
          <w:bCs/>
        </w:rPr>
        <w:t xml:space="preserve">a registered provider of </w:t>
      </w:r>
      <w:r w:rsidR="00C45A54">
        <w:rPr>
          <w:b/>
          <w:bCs/>
        </w:rPr>
        <w:t xml:space="preserve">a </w:t>
      </w:r>
      <w:r w:rsidRPr="00694807">
        <w:rPr>
          <w:b/>
          <w:bCs/>
        </w:rPr>
        <w:t>school boarding premises under review by the VRQA</w:t>
      </w:r>
    </w:p>
    <w:p w14:paraId="21B911FA" w14:textId="2D2A688A" w:rsidR="001933D8" w:rsidRPr="001933D8" w:rsidRDefault="001933D8" w:rsidP="00C45A54">
      <w:pPr>
        <w:pStyle w:val="VRQABullet1"/>
        <w:spacing w:after="240"/>
        <w:ind w:hanging="357"/>
        <w:contextualSpacing w:val="0"/>
      </w:pPr>
      <w:r w:rsidRPr="001933D8">
        <w:t xml:space="preserve">section 5.8.3V of the Act gives the VRQA power to accept an undertaking given by </w:t>
      </w:r>
      <w:r w:rsidRPr="00694807">
        <w:rPr>
          <w:b/>
          <w:bCs/>
        </w:rPr>
        <w:t xml:space="preserve">a </w:t>
      </w:r>
      <w:r w:rsidR="00694807">
        <w:rPr>
          <w:b/>
          <w:bCs/>
        </w:rPr>
        <w:t>r</w:t>
      </w:r>
      <w:r w:rsidRPr="00694807">
        <w:rPr>
          <w:b/>
          <w:bCs/>
        </w:rPr>
        <w:t xml:space="preserve">egistered </w:t>
      </w:r>
      <w:r w:rsidR="00694807">
        <w:rPr>
          <w:b/>
          <w:bCs/>
        </w:rPr>
        <w:t>t</w:t>
      </w:r>
      <w:r w:rsidRPr="00694807">
        <w:rPr>
          <w:b/>
          <w:bCs/>
        </w:rPr>
        <w:t xml:space="preserve">raining </w:t>
      </w:r>
      <w:r w:rsidR="00694807">
        <w:rPr>
          <w:b/>
          <w:bCs/>
        </w:rPr>
        <w:t>o</w:t>
      </w:r>
      <w:r w:rsidRPr="00694807">
        <w:rPr>
          <w:b/>
          <w:bCs/>
        </w:rPr>
        <w:t>rganisation (RTO)</w:t>
      </w:r>
      <w:r w:rsidRPr="001933D8">
        <w:t xml:space="preserve"> and</w:t>
      </w:r>
    </w:p>
    <w:p w14:paraId="3E2E7951" w14:textId="4A98367F" w:rsidR="001933D8" w:rsidRPr="001933D8" w:rsidRDefault="001933D8" w:rsidP="00C45A54">
      <w:pPr>
        <w:pStyle w:val="VRQABullet1"/>
        <w:ind w:left="363" w:hanging="357"/>
        <w:contextualSpacing w:val="0"/>
      </w:pPr>
      <w:r w:rsidRPr="001933D8">
        <w:t>section 5.8.26 of the Act gives the VRQA power to accept an undertaking from:</w:t>
      </w:r>
    </w:p>
    <w:p w14:paraId="13767643" w14:textId="6AD87F26" w:rsidR="001933D8" w:rsidRPr="001933D8" w:rsidRDefault="001933D8" w:rsidP="00C45A54">
      <w:pPr>
        <w:pStyle w:val="VRQABullet2"/>
        <w:contextualSpacing w:val="0"/>
      </w:pPr>
      <w:r w:rsidRPr="00C45A54">
        <w:rPr>
          <w:b/>
          <w:bCs/>
        </w:rPr>
        <w:t>a registered school or non-school provider that is registered to provide a senior secondary or foundation secondary course</w:t>
      </w:r>
      <w:r w:rsidRPr="001933D8">
        <w:t xml:space="preserve"> (irrespective of whether, in the case of a school, it is under review by the VRQA) or</w:t>
      </w:r>
    </w:p>
    <w:p w14:paraId="55735050" w14:textId="2E146CBD" w:rsidR="001933D8" w:rsidRPr="00C45A54" w:rsidRDefault="001933D8" w:rsidP="00C45A54">
      <w:pPr>
        <w:pStyle w:val="VRQABullet2"/>
        <w:contextualSpacing w:val="0"/>
        <w:rPr>
          <w:b/>
          <w:bCs/>
        </w:rPr>
      </w:pPr>
      <w:r w:rsidRPr="00C45A54">
        <w:rPr>
          <w:b/>
          <w:bCs/>
        </w:rPr>
        <w:t>an</w:t>
      </w:r>
      <w:r w:rsidR="00694807" w:rsidRPr="00C45A54">
        <w:rPr>
          <w:b/>
          <w:bCs/>
        </w:rPr>
        <w:t xml:space="preserve"> a</w:t>
      </w:r>
      <w:r w:rsidRPr="00C45A54">
        <w:rPr>
          <w:b/>
          <w:bCs/>
        </w:rPr>
        <w:t xml:space="preserve">warding </w:t>
      </w:r>
      <w:r w:rsidR="00694807" w:rsidRPr="00C45A54">
        <w:rPr>
          <w:b/>
          <w:bCs/>
        </w:rPr>
        <w:t>b</w:t>
      </w:r>
      <w:r w:rsidRPr="00C45A54">
        <w:rPr>
          <w:b/>
          <w:bCs/>
        </w:rPr>
        <w:t xml:space="preserve">ody </w:t>
      </w:r>
    </w:p>
    <w:p w14:paraId="43DCDEF6" w14:textId="6A0BB78F" w:rsidR="001933D8" w:rsidRPr="001933D8" w:rsidRDefault="001933D8" w:rsidP="00C45A54">
      <w:pPr>
        <w:pStyle w:val="VRQABullet2"/>
        <w:contextualSpacing w:val="0"/>
      </w:pPr>
      <w:r w:rsidRPr="00C45A54">
        <w:rPr>
          <w:b/>
          <w:bCs/>
        </w:rPr>
        <w:t>a school or institution that holds approval from the VRQA to be registered on the Commonwealth Register of Institutions and Courses for Overseas Students (CRICOS)</w:t>
      </w:r>
      <w:r w:rsidRPr="001933D8">
        <w:t xml:space="preserve"> (irrespective of whether, in the case of a school, the school is under review by the VRQA), or</w:t>
      </w:r>
    </w:p>
    <w:p w14:paraId="54EF8AD5" w14:textId="03E5FDFA" w:rsidR="001933D8" w:rsidRPr="001933D8" w:rsidRDefault="001933D8" w:rsidP="00C45A54">
      <w:pPr>
        <w:pStyle w:val="VRQABullet2"/>
        <w:contextualSpacing w:val="0"/>
      </w:pPr>
      <w:r w:rsidRPr="00C45A54">
        <w:rPr>
          <w:b/>
          <w:bCs/>
        </w:rPr>
        <w:t>a person, organisation or school approved to operate a student exchange program</w:t>
      </w:r>
      <w:r w:rsidR="00694807" w:rsidRPr="00C45A54">
        <w:rPr>
          <w:b/>
          <w:bCs/>
        </w:rPr>
        <w:t xml:space="preserve">, </w:t>
      </w:r>
      <w:r w:rsidRPr="00C45A54">
        <w:rPr>
          <w:b/>
          <w:bCs/>
        </w:rPr>
        <w:t xml:space="preserve">a Student Exchange Organisation (SEO) </w:t>
      </w:r>
      <w:r w:rsidRPr="001933D8">
        <w:t>(irrespective of whether, in the case of a school, the school is under review by the VRQA)</w:t>
      </w:r>
    </w:p>
    <w:p w14:paraId="225A952D" w14:textId="0A5D99A4" w:rsidR="001933D8" w:rsidRPr="001933D8" w:rsidRDefault="001933D8" w:rsidP="00C45A54">
      <w:pPr>
        <w:pStyle w:val="VRQABullet2"/>
        <w:contextualSpacing w:val="0"/>
      </w:pPr>
      <w:r w:rsidRPr="00C45A54">
        <w:rPr>
          <w:b/>
          <w:bCs/>
        </w:rPr>
        <w:t>a person or body who has received a notice to comply issued under Part 5.8 of the Act from the VRQA that has not complied with the notice to comply</w:t>
      </w:r>
      <w:r w:rsidRPr="001933D8">
        <w:t>.</w:t>
      </w:r>
    </w:p>
    <w:p w14:paraId="6532AD40" w14:textId="77777777" w:rsidR="00C45A54" w:rsidRDefault="00C45A54">
      <w:pPr>
        <w:rPr>
          <w:rFonts w:ascii="Arial" w:eastAsiaTheme="majorEastAsia" w:hAnsi="Arial" w:cstheme="majorBidi"/>
          <w:b/>
          <w:color w:val="103D64"/>
          <w:szCs w:val="26"/>
          <w:lang w:val="en-AU"/>
        </w:rPr>
      </w:pPr>
      <w:r>
        <w:rPr>
          <w:lang w:val="en-AU"/>
        </w:rPr>
        <w:br w:type="page"/>
      </w:r>
    </w:p>
    <w:p w14:paraId="0819A8C8" w14:textId="207C8CCF" w:rsidR="001933D8" w:rsidRPr="001933D8" w:rsidRDefault="001933D8" w:rsidP="00C32FA7">
      <w:pPr>
        <w:pStyle w:val="VRQASubheading1"/>
        <w:rPr>
          <w:lang w:val="en-AU"/>
        </w:rPr>
      </w:pPr>
      <w:r w:rsidRPr="001933D8">
        <w:rPr>
          <w:lang w:val="en-AU"/>
        </w:rPr>
        <w:lastRenderedPageBreak/>
        <w:t>Examples of what enforceable undertakings cover</w:t>
      </w:r>
    </w:p>
    <w:p w14:paraId="5B6CB46E" w14:textId="77777777" w:rsidR="001933D8" w:rsidRPr="001933D8" w:rsidRDefault="001933D8" w:rsidP="00C32FA7">
      <w:pPr>
        <w:pStyle w:val="VRQABodyText"/>
      </w:pPr>
      <w:r w:rsidRPr="001933D8">
        <w:t>An enforceable undertaking may include:</w:t>
      </w:r>
    </w:p>
    <w:p w14:paraId="7452CD81" w14:textId="77777777" w:rsidR="001933D8" w:rsidRPr="00694807" w:rsidRDefault="001933D8" w:rsidP="00C32FA7">
      <w:pPr>
        <w:pStyle w:val="VRQABodyText"/>
        <w:rPr>
          <w:b/>
          <w:bCs/>
        </w:rPr>
      </w:pPr>
      <w:r w:rsidRPr="00694807">
        <w:rPr>
          <w:b/>
          <w:bCs/>
        </w:rPr>
        <w:t>For providers:</w:t>
      </w:r>
    </w:p>
    <w:p w14:paraId="27A2BD22" w14:textId="66BADE0E" w:rsidR="001933D8" w:rsidRPr="00C45A54" w:rsidRDefault="001933D8" w:rsidP="00C45A54">
      <w:pPr>
        <w:pStyle w:val="VRQABullet1"/>
      </w:pPr>
      <w:r w:rsidRPr="00C45A54">
        <w:t>an admission that the provider has not complied, or is not currently fully compliant, with:</w:t>
      </w:r>
    </w:p>
    <w:p w14:paraId="605349CD" w14:textId="6ADD4E9A" w:rsidR="001933D8" w:rsidRPr="001933D8" w:rsidRDefault="001933D8" w:rsidP="00C45A54">
      <w:pPr>
        <w:pStyle w:val="VRQABullet2"/>
      </w:pPr>
      <w:r w:rsidRPr="001933D8">
        <w:t>in the case of a registered school, one or more prescribed minimum standards for registration, or</w:t>
      </w:r>
    </w:p>
    <w:p w14:paraId="764325FF" w14:textId="4950E118" w:rsidR="001933D8" w:rsidRPr="00C32FA7" w:rsidRDefault="001933D8" w:rsidP="00C45A54">
      <w:pPr>
        <w:pStyle w:val="VRQABullet2"/>
      </w:pPr>
      <w:r w:rsidRPr="001933D8">
        <w:t xml:space="preserve">one or more of the requirements for registration for a particular type of provider. For example, for a school that is registered on the CRICOS, the enforceable undertaking may include an admission that the provider has not </w:t>
      </w:r>
      <w:r w:rsidRPr="00C32FA7">
        <w:t>complied with the requirement(s) for approval to be CRICOS registered under the Act or</w:t>
      </w:r>
    </w:p>
    <w:p w14:paraId="09159064" w14:textId="4DA6E22E" w:rsidR="001933D8" w:rsidRPr="00C32FA7" w:rsidRDefault="001933D8" w:rsidP="00C45A54">
      <w:pPr>
        <w:pStyle w:val="VRQABullet2"/>
      </w:pPr>
      <w:r w:rsidRPr="00C32FA7">
        <w:t>in the case of RTOs, one or more RTO standards or guidelines issued by the VRQA or another obligation under the Act</w:t>
      </w:r>
    </w:p>
    <w:p w14:paraId="1B50FD42" w14:textId="2B4680AE" w:rsidR="001933D8" w:rsidRPr="00C32FA7" w:rsidRDefault="001933D8" w:rsidP="00C45A54">
      <w:pPr>
        <w:pStyle w:val="VRQABullet2"/>
      </w:pPr>
      <w:r w:rsidRPr="00C32FA7">
        <w:t>any other obligation of a provider under the Act in relation to which the VRQA has a power or function.</w:t>
      </w:r>
    </w:p>
    <w:p w14:paraId="0D1097E9" w14:textId="435E5E5F" w:rsidR="001933D8" w:rsidRPr="00C32FA7" w:rsidRDefault="001933D8" w:rsidP="00C32FA7">
      <w:pPr>
        <w:pStyle w:val="VRQABullet1"/>
      </w:pPr>
      <w:r w:rsidRPr="00C32FA7">
        <w:t xml:space="preserve">actions the provider will take to achieve and demonstrate compliance, including the timeline for completing the action, or the date by which the provider will cease or refrain from acting in breach of the Act or other requirement </w:t>
      </w:r>
    </w:p>
    <w:p w14:paraId="50A06B55" w14:textId="2DE3A126" w:rsidR="001933D8" w:rsidRPr="00C32FA7" w:rsidRDefault="001933D8" w:rsidP="00C32FA7">
      <w:pPr>
        <w:pStyle w:val="VRQABullet1"/>
      </w:pPr>
      <w:r w:rsidRPr="00C32FA7">
        <w:t>an acknowledgement that the provider has had an opportunity to seek legal, commercial or financial advice (as may be relevant)</w:t>
      </w:r>
    </w:p>
    <w:p w14:paraId="354283BB" w14:textId="6656D0E5" w:rsidR="001933D8" w:rsidRPr="001933D8" w:rsidRDefault="001933D8" w:rsidP="00C32FA7">
      <w:pPr>
        <w:pStyle w:val="VRQABullet1"/>
      </w:pPr>
      <w:r w:rsidRPr="00C32FA7">
        <w:t>an acknowledgement from</w:t>
      </w:r>
      <w:r w:rsidRPr="001933D8">
        <w:t xml:space="preserve"> the provider that failure to take the steps set out in the enforceable undertaking may lead to further action by the VRQA.</w:t>
      </w:r>
    </w:p>
    <w:p w14:paraId="53C46D55" w14:textId="77777777" w:rsidR="001933D8" w:rsidRPr="00694807" w:rsidRDefault="001933D8" w:rsidP="00C32FA7">
      <w:pPr>
        <w:pStyle w:val="VRQABodyText"/>
        <w:rPr>
          <w:b/>
          <w:bCs/>
        </w:rPr>
      </w:pPr>
      <w:r w:rsidRPr="00694807">
        <w:rPr>
          <w:b/>
          <w:bCs/>
        </w:rPr>
        <w:t>For other persons or bodies who the VRQA can receive enforceable undertakings from:</w:t>
      </w:r>
    </w:p>
    <w:p w14:paraId="31A32BE6" w14:textId="2181E315" w:rsidR="001933D8" w:rsidRPr="001933D8" w:rsidRDefault="001933D8" w:rsidP="00C32FA7">
      <w:pPr>
        <w:pStyle w:val="VRQABullet1"/>
      </w:pPr>
      <w:r w:rsidRPr="001933D8">
        <w:t>an admission that the person or body has engaged in the conduct that gave rise to the VRQA’s regulatory action</w:t>
      </w:r>
    </w:p>
    <w:p w14:paraId="5BD7DE1C" w14:textId="5EA89ECB" w:rsidR="001933D8" w:rsidRPr="001933D8" w:rsidRDefault="001933D8" w:rsidP="00C32FA7">
      <w:pPr>
        <w:pStyle w:val="VRQABullet1"/>
      </w:pPr>
      <w:r w:rsidRPr="001933D8">
        <w:t>steps the person or body will take to comply with its legal obligations (for example, to respond to a notice to comply or take other action to address concerns that gave rise to the VRQA’s regulatory action)</w:t>
      </w:r>
    </w:p>
    <w:p w14:paraId="0370C3EC" w14:textId="1856FD54" w:rsidR="001933D8" w:rsidRPr="001933D8" w:rsidRDefault="001933D8" w:rsidP="00C32FA7">
      <w:pPr>
        <w:pStyle w:val="VRQABullet1"/>
      </w:pPr>
      <w:r w:rsidRPr="001933D8">
        <w:t>an acknowledgement that the person or body has had an opportunity to seek legal, commercial or financial advice (as may be relevant)</w:t>
      </w:r>
    </w:p>
    <w:p w14:paraId="1818EFDB" w14:textId="4F254B3A" w:rsidR="001933D8" w:rsidRPr="001933D8" w:rsidRDefault="001933D8" w:rsidP="00C32FA7">
      <w:pPr>
        <w:pStyle w:val="VRQABullet1"/>
      </w:pPr>
      <w:r w:rsidRPr="001933D8">
        <w:t>an acknowledgement from the person or body that failure to take the steps set out in the enforceable undertaking may lead to further action by the VRQA.</w:t>
      </w:r>
    </w:p>
    <w:p w14:paraId="0FB6641A" w14:textId="494B2934" w:rsidR="001933D8" w:rsidRPr="001933D8" w:rsidRDefault="001933D8" w:rsidP="00C32FA7">
      <w:pPr>
        <w:pStyle w:val="VRQASubheading2"/>
      </w:pPr>
      <w:r w:rsidRPr="001933D8">
        <w:t xml:space="preserve">Matters </w:t>
      </w:r>
      <w:r w:rsidRPr="00C32FA7">
        <w:t>that</w:t>
      </w:r>
      <w:r w:rsidRPr="001933D8">
        <w:t xml:space="preserve"> always need to be considered</w:t>
      </w:r>
    </w:p>
    <w:p w14:paraId="632AEE1E" w14:textId="77777777" w:rsidR="001933D8" w:rsidRPr="00C32FA7" w:rsidRDefault="001933D8" w:rsidP="00C32FA7">
      <w:pPr>
        <w:pStyle w:val="VRQABodyText"/>
      </w:pPr>
      <w:r w:rsidRPr="00C32FA7">
        <w:t>Any enforceable undertakings offered to the VRQA must not be inconsistent with the Act or the regulations made under the Act (including, in relevant cases, any prescribed minimum standards).</w:t>
      </w:r>
    </w:p>
    <w:p w14:paraId="00FDE957" w14:textId="77777777" w:rsidR="001933D8" w:rsidRPr="00C32FA7" w:rsidRDefault="001933D8" w:rsidP="00C32FA7">
      <w:pPr>
        <w:pStyle w:val="VRQABodyText"/>
      </w:pPr>
      <w:r w:rsidRPr="00C32FA7">
        <w:t>The VRQA will discuss with the person, body or provider the content of an undertaking.</w:t>
      </w:r>
    </w:p>
    <w:p w14:paraId="5A653F74" w14:textId="3704E4FC" w:rsidR="001933D8" w:rsidRPr="001933D8" w:rsidRDefault="001933D8" w:rsidP="00C32FA7">
      <w:pPr>
        <w:pStyle w:val="VRQABodyText"/>
      </w:pPr>
      <w:r w:rsidRPr="00C32FA7">
        <w:t xml:space="preserve">Once an enforceable undertaking is </w:t>
      </w:r>
      <w:proofErr w:type="gramStart"/>
      <w:r w:rsidRPr="00C32FA7">
        <w:t>entered into</w:t>
      </w:r>
      <w:proofErr w:type="gramEnd"/>
      <w:r w:rsidRPr="00C32FA7">
        <w:t>, it may only be withdrawn or varied with the VRQA’s consent. Importantly, an undertaking will not automatically be withdrawn just because a provider, person or body considers that it has complied with it.</w:t>
      </w:r>
    </w:p>
    <w:p w14:paraId="794030C6" w14:textId="77777777" w:rsidR="001933D8" w:rsidRPr="001933D8" w:rsidRDefault="001933D8" w:rsidP="00C32FA7">
      <w:pPr>
        <w:pStyle w:val="VRQASubheading1"/>
        <w:rPr>
          <w:lang w:val="en-AU"/>
        </w:rPr>
      </w:pPr>
      <w:r w:rsidRPr="001933D8">
        <w:rPr>
          <w:lang w:val="en-AU"/>
        </w:rPr>
        <w:t>Why does the VRQA consider using enforceable undertakings?</w:t>
      </w:r>
    </w:p>
    <w:p w14:paraId="2E9C062E" w14:textId="77777777" w:rsidR="001933D8" w:rsidRPr="001933D8" w:rsidRDefault="001933D8" w:rsidP="00C32FA7">
      <w:pPr>
        <w:pStyle w:val="VRQABodyText"/>
      </w:pPr>
      <w:r w:rsidRPr="001933D8">
        <w:t>The VRQA will consider using enforceable undertakings in circumstances where:</w:t>
      </w:r>
    </w:p>
    <w:p w14:paraId="32A5DBEB" w14:textId="450EEDDC" w:rsidR="001933D8" w:rsidRPr="00C32FA7" w:rsidRDefault="001933D8" w:rsidP="00C32FA7">
      <w:pPr>
        <w:pStyle w:val="VRQABullet1"/>
      </w:pPr>
      <w:r w:rsidRPr="001933D8">
        <w:t xml:space="preserve">the </w:t>
      </w:r>
      <w:r w:rsidRPr="00C32FA7">
        <w:t>instances of non-compliance or failures on the part of a person, body or provider to meet obligations identified are not so significant as to warrant other regulatory action, and the VRQA is confident that the undertaking will be complied with</w:t>
      </w:r>
    </w:p>
    <w:p w14:paraId="36E28CDB" w14:textId="5ADED17B" w:rsidR="001933D8" w:rsidRPr="00C32FA7" w:rsidRDefault="001933D8" w:rsidP="001933D8">
      <w:pPr>
        <w:pStyle w:val="VRQABullet1"/>
      </w:pPr>
      <w:r w:rsidRPr="00C32FA7">
        <w:t>the person, body or provider is proactively and cooperatively engaging with the VRQA and is genuinely prepared to admit and rectify the non-compliance to the VRQA’s satisfaction so that it will achieve compliance with its relevant obligations.</w:t>
      </w:r>
    </w:p>
    <w:p w14:paraId="2C427557" w14:textId="77777777" w:rsidR="001933D8" w:rsidRPr="001933D8" w:rsidRDefault="001933D8" w:rsidP="00C32FA7">
      <w:pPr>
        <w:pStyle w:val="VRQASubheading1"/>
        <w:rPr>
          <w:lang w:val="en-AU"/>
        </w:rPr>
      </w:pPr>
      <w:r w:rsidRPr="001933D8">
        <w:rPr>
          <w:lang w:val="en-AU"/>
        </w:rPr>
        <w:lastRenderedPageBreak/>
        <w:t>What may happen if an enforceable undertaking is not complied with?</w:t>
      </w:r>
    </w:p>
    <w:p w14:paraId="0C9C64E6" w14:textId="77777777" w:rsidR="001933D8" w:rsidRPr="001933D8" w:rsidRDefault="001933D8" w:rsidP="00C32FA7">
      <w:pPr>
        <w:pStyle w:val="VRQABodyText"/>
      </w:pPr>
      <w:r w:rsidRPr="001933D8">
        <w:t xml:space="preserve">If the VRQA considers that there has been a breach of any of the terms of an undertaking, the VRQA has the power to apply to the Magistrates’ Court for: </w:t>
      </w:r>
    </w:p>
    <w:p w14:paraId="66D77A4F" w14:textId="6583A3C9" w:rsidR="001933D8" w:rsidRPr="00C32FA7" w:rsidRDefault="001933D8" w:rsidP="00C32FA7">
      <w:pPr>
        <w:pStyle w:val="VRQABullet1"/>
      </w:pPr>
      <w:r w:rsidRPr="00C32FA7">
        <w:t>an order directing the person, body or provider to comply with the terms of the undertaking</w:t>
      </w:r>
    </w:p>
    <w:p w14:paraId="737C0FB9" w14:textId="5DDE1EFA" w:rsidR="001933D8" w:rsidRPr="00C32FA7" w:rsidRDefault="001933D8" w:rsidP="00C32FA7">
      <w:pPr>
        <w:pStyle w:val="VRQABullet1"/>
      </w:pPr>
      <w:r w:rsidRPr="00C32FA7">
        <w:t xml:space="preserve">any other order the VRQA is empowered to seek under the Act, or </w:t>
      </w:r>
    </w:p>
    <w:p w14:paraId="7974230A" w14:textId="0814C956" w:rsidR="001933D8" w:rsidRPr="00C32FA7" w:rsidRDefault="001933D8" w:rsidP="00C32FA7">
      <w:pPr>
        <w:pStyle w:val="VRQABullet1"/>
      </w:pPr>
      <w:r w:rsidRPr="00C32FA7">
        <w:t>any order the Court considers appropriate.</w:t>
      </w:r>
    </w:p>
    <w:p w14:paraId="777139FB" w14:textId="6A7BF7C1" w:rsidR="001933D8" w:rsidRPr="001933D8" w:rsidRDefault="001933D8" w:rsidP="00C32FA7">
      <w:pPr>
        <w:pStyle w:val="VRQABodyText"/>
      </w:pPr>
      <w:r w:rsidRPr="001933D8">
        <w:t>Under the Act, if a body corporate is found by the Magistrates’ Court to have breached an enforceable undertaking, then each officer of the body corporate is deemed to have breached the undertaking if the officer knowingly authorised or permitted the breach, and the Magistrates’ Court may make an order against the officer that the Magistrates’ Court thinks appropriate</w:t>
      </w:r>
      <w:r w:rsidR="00694807">
        <w:t>.</w:t>
      </w:r>
      <w:r w:rsidR="00BA2952">
        <w:rPr>
          <w:rStyle w:val="FootnoteReference"/>
        </w:rPr>
        <w:footnoteReference w:id="2"/>
      </w:r>
    </w:p>
    <w:p w14:paraId="4DCA3C0F" w14:textId="77777777" w:rsidR="001933D8" w:rsidRPr="001933D8" w:rsidRDefault="001933D8" w:rsidP="00C32FA7">
      <w:pPr>
        <w:pStyle w:val="VRQABodyText"/>
      </w:pPr>
      <w:r w:rsidRPr="001933D8">
        <w:t>The VRQA may also decide to take other regulatory action alongside an application to the Magistrates’ Court.</w:t>
      </w:r>
    </w:p>
    <w:p w14:paraId="626ED840" w14:textId="2BA86BC0" w:rsidR="001933D8" w:rsidRPr="001933D8" w:rsidRDefault="001933D8" w:rsidP="00C32FA7">
      <w:pPr>
        <w:pStyle w:val="VRQABodyText"/>
      </w:pPr>
      <w:r w:rsidRPr="001933D8">
        <w:t xml:space="preserve">For example, the VRQA may open a review of a provider or take other regulatory action. </w:t>
      </w:r>
    </w:p>
    <w:sectPr w:rsidR="001933D8" w:rsidRPr="001933D8" w:rsidSect="008F6306">
      <w:headerReference w:type="even" r:id="rId11"/>
      <w:headerReference w:type="default" r:id="rId12"/>
      <w:footerReference w:type="even" r:id="rId13"/>
      <w:footerReference w:type="default" r:id="rId14"/>
      <w:headerReference w:type="first" r:id="rId15"/>
      <w:footerReference w:type="first" r:id="rId16"/>
      <w:pgSz w:w="11906" w:h="16838"/>
      <w:pgMar w:top="1985" w:right="851" w:bottom="851"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396E" w14:textId="77777777" w:rsidR="007A58FE" w:rsidRDefault="007A58FE" w:rsidP="001B2A4B">
      <w:pPr>
        <w:spacing w:after="0" w:line="240" w:lineRule="auto"/>
      </w:pPr>
      <w:r>
        <w:separator/>
      </w:r>
    </w:p>
  </w:endnote>
  <w:endnote w:type="continuationSeparator" w:id="0">
    <w:p w14:paraId="18FEA887" w14:textId="77777777" w:rsidR="007A58FE" w:rsidRDefault="007A58FE"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Post Grotesk">
    <w:panose1 w:val="02000000000000000000"/>
    <w:charset w:val="00"/>
    <w:family w:val="modern"/>
    <w:notTrueType/>
    <w:pitch w:val="variable"/>
    <w:sig w:usb0="A00000EF" w:usb1="50016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3987" w14:textId="77777777" w:rsidR="00320ECA" w:rsidRDefault="00320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469810"/>
      <w:docPartObj>
        <w:docPartGallery w:val="Page Numbers (Bottom of Page)"/>
        <w:docPartUnique/>
      </w:docPartObj>
    </w:sdtPr>
    <w:sdtEndPr>
      <w:rPr>
        <w:noProof/>
      </w:rPr>
    </w:sdtEndPr>
    <w:sdtContent>
      <w:p w14:paraId="64639356" w14:textId="2F0511CB" w:rsidR="003656F9" w:rsidRPr="00C7383C" w:rsidRDefault="0041195B" w:rsidP="001F1BAE">
        <w:pPr>
          <w:pStyle w:val="VRQAFooterNoLogo"/>
          <w:tabs>
            <w:tab w:val="right" w:pos="9923"/>
          </w:tabs>
        </w:pPr>
        <w:r>
          <w:t>Enforceable undertaking policy</w:t>
        </w:r>
        <w:r w:rsidR="00320ECA">
          <w:t xml:space="preserve"> </w:t>
        </w:r>
        <w:r w:rsidR="00320ECA">
          <w:rPr>
            <w:lang w:val="en-US"/>
          </w:rPr>
          <w:t>– February 2026</w:t>
        </w:r>
        <w:r w:rsidR="003656F9">
          <w:tab/>
        </w:r>
        <w:r w:rsidR="003656F9" w:rsidRPr="00C7383C">
          <w:fldChar w:fldCharType="begin"/>
        </w:r>
        <w:r w:rsidR="003656F9" w:rsidRPr="00C7383C">
          <w:instrText xml:space="preserve"> PAGE   \* MERGEFORMAT </w:instrText>
        </w:r>
        <w:r w:rsidR="003656F9" w:rsidRPr="00C7383C">
          <w:fldChar w:fldCharType="separate"/>
        </w:r>
        <w:r w:rsidR="00B921E5">
          <w:rPr>
            <w:noProof/>
          </w:rPr>
          <w:t>6</w:t>
        </w:r>
        <w:r w:rsidR="003656F9" w:rsidRPr="00C7383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098A" w14:textId="3DB31A67" w:rsidR="003656F9" w:rsidRPr="001F1BAE" w:rsidRDefault="0041195B" w:rsidP="00694807">
    <w:pPr>
      <w:pStyle w:val="VRQAFooterNoLogo"/>
      <w:rPr>
        <w:lang w:val="en-US"/>
      </w:rPr>
    </w:pPr>
    <w:r>
      <w:rPr>
        <w:lang w:val="en-US"/>
      </w:rPr>
      <w:t>Enforceable undertaking policy</w:t>
    </w:r>
    <w:r w:rsidR="00320ECA">
      <w:rPr>
        <w:lang w:val="en-US"/>
      </w:rPr>
      <w:t xml:space="preserve"> – February 2026</w:t>
    </w:r>
    <w:r w:rsidR="001F1BAE">
      <w:rPr>
        <w:lang w:val="en-US"/>
      </w:rPr>
      <w:tab/>
    </w:r>
    <w:r w:rsidR="001F1BAE" w:rsidRPr="001F1BAE">
      <w:rPr>
        <w:lang w:val="en-US"/>
      </w:rPr>
      <w:fldChar w:fldCharType="begin"/>
    </w:r>
    <w:r w:rsidR="001F1BAE" w:rsidRPr="001F1BAE">
      <w:rPr>
        <w:lang w:val="en-US"/>
      </w:rPr>
      <w:instrText xml:space="preserve"> PAGE   \* MERGEFORMAT </w:instrText>
    </w:r>
    <w:r w:rsidR="001F1BAE" w:rsidRPr="001F1BAE">
      <w:rPr>
        <w:lang w:val="en-US"/>
      </w:rPr>
      <w:fldChar w:fldCharType="separate"/>
    </w:r>
    <w:r w:rsidR="001F1BAE" w:rsidRPr="001F1BAE">
      <w:rPr>
        <w:noProof/>
        <w:lang w:val="en-US"/>
      </w:rPr>
      <w:t>1</w:t>
    </w:r>
    <w:r w:rsidR="001F1BAE" w:rsidRPr="001F1BAE">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017D" w14:textId="77777777" w:rsidR="007A58FE" w:rsidRDefault="007A58FE" w:rsidP="001B2A4B">
      <w:pPr>
        <w:spacing w:after="0" w:line="240" w:lineRule="auto"/>
      </w:pPr>
      <w:r>
        <w:separator/>
      </w:r>
    </w:p>
  </w:footnote>
  <w:footnote w:type="continuationSeparator" w:id="0">
    <w:p w14:paraId="2980D89D" w14:textId="77777777" w:rsidR="007A58FE" w:rsidRDefault="007A58FE" w:rsidP="001B2A4B">
      <w:pPr>
        <w:spacing w:after="0" w:line="240" w:lineRule="auto"/>
      </w:pPr>
      <w:r>
        <w:continuationSeparator/>
      </w:r>
    </w:p>
  </w:footnote>
  <w:footnote w:id="1">
    <w:p w14:paraId="1D1C291B" w14:textId="3F268059" w:rsidR="00BA2952" w:rsidRPr="003227A2" w:rsidRDefault="00BA2952" w:rsidP="00BA2952">
      <w:pPr>
        <w:pStyle w:val="VRQAcaptionsandfootnotes"/>
        <w:rPr>
          <w:lang w:val="en-AU"/>
        </w:rPr>
      </w:pPr>
      <w:r w:rsidRPr="003227A2">
        <w:rPr>
          <w:rStyle w:val="FootnoteReference"/>
          <w:lang w:val="en-AU"/>
        </w:rPr>
        <w:footnoteRef/>
      </w:r>
      <w:r w:rsidRPr="003227A2">
        <w:rPr>
          <w:lang w:val="en-AU"/>
        </w:rPr>
        <w:t xml:space="preserve"> </w:t>
      </w:r>
      <w:r w:rsidR="00694807">
        <w:rPr>
          <w:lang w:val="en-AU"/>
        </w:rPr>
        <w:t>P</w:t>
      </w:r>
      <w:r w:rsidRPr="00BA2952">
        <w:rPr>
          <w:lang w:val="en-AU"/>
        </w:rPr>
        <w:t>rovider</w:t>
      </w:r>
      <w:r w:rsidRPr="003227A2">
        <w:rPr>
          <w:lang w:val="en-AU"/>
        </w:rPr>
        <w:t>, in this policy</w:t>
      </w:r>
      <w:r>
        <w:rPr>
          <w:lang w:val="en-AU"/>
        </w:rPr>
        <w:t>,</w:t>
      </w:r>
      <w:r w:rsidRPr="003227A2">
        <w:rPr>
          <w:lang w:val="en-AU"/>
        </w:rPr>
        <w:t xml:space="preserve"> includes a VRQA registered school, school boarding premises, non-school senior secondary school provider, Student Exchange Organisation (SEO), a VRQA approved CRICOS provider of courses to overseas students, an awarding body or a Registered Training Organisation.</w:t>
      </w:r>
    </w:p>
    <w:p w14:paraId="5C61C2B4" w14:textId="77777777" w:rsidR="00BA2952" w:rsidRPr="003227A2" w:rsidRDefault="00BA2952" w:rsidP="00BA2952">
      <w:pPr>
        <w:pStyle w:val="FootnoteText"/>
        <w:rPr>
          <w:lang w:val="en-AU"/>
        </w:rPr>
      </w:pPr>
    </w:p>
  </w:footnote>
  <w:footnote w:id="2">
    <w:p w14:paraId="1D3C4F7C" w14:textId="1FF987F2" w:rsidR="00BA2952" w:rsidRPr="003227A2" w:rsidRDefault="00BA2952" w:rsidP="00BA2952">
      <w:pPr>
        <w:pStyle w:val="VRQAcaptionsandfootnotes"/>
      </w:pPr>
      <w:r w:rsidRPr="003227A2">
        <w:rPr>
          <w:rStyle w:val="FootnoteReference"/>
        </w:rPr>
        <w:footnoteRef/>
      </w:r>
      <w:r w:rsidRPr="003227A2">
        <w:t xml:space="preserve"> </w:t>
      </w:r>
      <w:r>
        <w:t>Officer</w:t>
      </w:r>
      <w:r w:rsidR="00694807">
        <w:t xml:space="preserve">, in this </w:t>
      </w:r>
      <w:r w:rsidR="00C45A54">
        <w:t>policy</w:t>
      </w:r>
      <w:r w:rsidR="00694807">
        <w:t>,</w:t>
      </w:r>
      <w:r>
        <w:t xml:space="preserve"> </w:t>
      </w:r>
      <w:r w:rsidRPr="003227A2">
        <w:t xml:space="preserve">as defined under section 9 (A)(D) of the </w:t>
      </w:r>
      <w:r w:rsidRPr="003227A2">
        <w:rPr>
          <w:i/>
          <w:iCs/>
        </w:rPr>
        <w:t>Corporations Act 2001</w:t>
      </w:r>
      <w:r w:rsidRPr="003227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01D" w14:textId="77777777" w:rsidR="00320ECA" w:rsidRDefault="00320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06D0" w14:textId="77777777" w:rsidR="003656F9" w:rsidRDefault="003656F9" w:rsidP="001F1BAE">
    <w:r w:rsidRPr="00856727">
      <w:rPr>
        <w:noProof/>
      </w:rPr>
      <w:drawing>
        <wp:anchor distT="0" distB="0" distL="114300" distR="114300" simplePos="0" relativeHeight="251659264" behindDoc="1" locked="0" layoutInCell="1" allowOverlap="1" wp14:anchorId="7B94226D" wp14:editId="385C4CCA">
          <wp:simplePos x="0" y="0"/>
          <wp:positionH relativeFrom="column">
            <wp:posOffset>-146685</wp:posOffset>
          </wp:positionH>
          <wp:positionV relativeFrom="page">
            <wp:posOffset>228600</wp:posOffset>
          </wp:positionV>
          <wp:extent cx="6731000" cy="932180"/>
          <wp:effectExtent l="0" t="0" r="0" b="1270"/>
          <wp:wrapNone/>
          <wp:docPr id="12" name="Picture 12"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D18" w14:textId="77777777" w:rsidR="003656F9" w:rsidRDefault="00A52618">
    <w:r w:rsidRPr="00117EDD">
      <w:rPr>
        <w:noProof/>
        <w:sz w:val="20"/>
        <w:szCs w:val="20"/>
        <w:lang w:val="en-AU" w:eastAsia="en-AU"/>
      </w:rPr>
      <w:drawing>
        <wp:anchor distT="0" distB="0" distL="114300" distR="114300" simplePos="0" relativeHeight="251662336" behindDoc="0" locked="0" layoutInCell="1" allowOverlap="1" wp14:anchorId="121F1A1E" wp14:editId="0590F407">
          <wp:simplePos x="0" y="0"/>
          <wp:positionH relativeFrom="margin">
            <wp:posOffset>-635</wp:posOffset>
          </wp:positionH>
          <wp:positionV relativeFrom="paragraph">
            <wp:posOffset>-399415</wp:posOffset>
          </wp:positionV>
          <wp:extent cx="1644650" cy="107394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QA_Logo_PMS.eps"/>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tab/>
    </w:r>
    <w:r w:rsidR="003656F9">
      <w:tab/>
    </w:r>
    <w:r w:rsidRPr="00117EDD">
      <w:rPr>
        <w:noProof/>
        <w:sz w:val="20"/>
        <w:szCs w:val="20"/>
        <w:lang w:val="en-AU" w:eastAsia="en-AU"/>
      </w:rPr>
      <w:drawing>
        <wp:anchor distT="0" distB="0" distL="114300" distR="114300" simplePos="0" relativeHeight="251663360" behindDoc="0" locked="1" layoutInCell="1" allowOverlap="1" wp14:anchorId="17CDA13C" wp14:editId="46AF3B03">
          <wp:simplePos x="0" y="0"/>
          <wp:positionH relativeFrom="column">
            <wp:posOffset>5123815</wp:posOffset>
          </wp:positionH>
          <wp:positionV relativeFrom="page">
            <wp:posOffset>279400</wp:posOffset>
          </wp:positionV>
          <wp:extent cx="1148080" cy="654685"/>
          <wp:effectExtent l="0" t="0" r="0" b="0"/>
          <wp:wrapSquare wrapText="bothSides"/>
          <wp:docPr id="14" name="Picture 14"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852E9"/>
    <w:multiLevelType w:val="hybridMultilevel"/>
    <w:tmpl w:val="51C0AF40"/>
    <w:lvl w:ilvl="0" w:tplc="9E767C96">
      <w:start w:val="1"/>
      <w:numFmt w:val="bullet"/>
      <w:pStyle w:val="VRQABullet2"/>
      <w:lvlText w:val="–"/>
      <w:lvlJc w:val="left"/>
      <w:pPr>
        <w:ind w:left="1145" w:hanging="360"/>
      </w:pPr>
      <w:rPr>
        <w:rFonts w:ascii="Arial" w:hAnsi="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82D1EC7"/>
    <w:multiLevelType w:val="multilevel"/>
    <w:tmpl w:val="92DC7CE0"/>
    <w:styleLink w:val="CurrentList1"/>
    <w:lvl w:ilvl="0">
      <w:start w:val="1"/>
      <w:numFmt w:val="bullet"/>
      <w:lvlText w:val=""/>
      <w:lvlJc w:val="left"/>
      <w:pPr>
        <w:ind w:left="340" w:hanging="340"/>
      </w:pPr>
      <w:rPr>
        <w:rFonts w:ascii="Symbol" w:hAnsi="Symbol" w:hint="default"/>
        <w:color w:val="555559"/>
        <w:w w:val="80"/>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1E0097"/>
    <w:multiLevelType w:val="hybridMultilevel"/>
    <w:tmpl w:val="E4F06D2E"/>
    <w:lvl w:ilvl="0" w:tplc="1150ADFC">
      <w:start w:val="1"/>
      <w:numFmt w:val="bullet"/>
      <w:pStyle w:val="VRQABullet1"/>
      <w:lvlText w:val=""/>
      <w:lvlJc w:val="left"/>
      <w:pPr>
        <w:ind w:left="360" w:hanging="360"/>
      </w:pPr>
      <w:rPr>
        <w:rFonts w:ascii="Symbol" w:hAnsi="Symbol" w:hint="default"/>
        <w:color w:val="auto"/>
        <w:w w:val="10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34A0F"/>
    <w:multiLevelType w:val="multilevel"/>
    <w:tmpl w:val="0114D8CE"/>
    <w:styleLink w:val="CurrentList3"/>
    <w:lvl w:ilvl="0">
      <w:start w:val="1"/>
      <w:numFmt w:val="bullet"/>
      <w:lvlText w:val="o"/>
      <w:lvlJc w:val="left"/>
      <w:pPr>
        <w:ind w:left="1145" w:hanging="360"/>
      </w:pPr>
      <w:rPr>
        <w:rFonts w:ascii="Courier New" w:hAnsi="Courier New" w:cs="Courier New"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5"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5AF232F7"/>
    <w:multiLevelType w:val="multilevel"/>
    <w:tmpl w:val="902C7976"/>
    <w:styleLink w:val="CurrentList2"/>
    <w:lvl w:ilvl="0">
      <w:start w:val="1"/>
      <w:numFmt w:val="bullet"/>
      <w:lvlText w:val=""/>
      <w:lvlJc w:val="left"/>
      <w:pPr>
        <w:ind w:left="340" w:hanging="340"/>
      </w:pPr>
      <w:rPr>
        <w:rFonts w:ascii="Symbol" w:hAnsi="Symbol" w:hint="default"/>
        <w:color w:val="auto"/>
        <w:w w:val="80"/>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1571588">
    <w:abstractNumId w:val="0"/>
  </w:num>
  <w:num w:numId="2" w16cid:durableId="111674298">
    <w:abstractNumId w:val="3"/>
  </w:num>
  <w:num w:numId="3" w16cid:durableId="1841002746">
    <w:abstractNumId w:val="6"/>
  </w:num>
  <w:num w:numId="4" w16cid:durableId="691759697">
    <w:abstractNumId w:val="9"/>
  </w:num>
  <w:num w:numId="5" w16cid:durableId="1796290514">
    <w:abstractNumId w:val="8"/>
  </w:num>
  <w:num w:numId="6" w16cid:durableId="1187017598">
    <w:abstractNumId w:val="3"/>
  </w:num>
  <w:num w:numId="7" w16cid:durableId="1318194316">
    <w:abstractNumId w:val="5"/>
  </w:num>
  <w:num w:numId="8" w16cid:durableId="361397526">
    <w:abstractNumId w:val="1"/>
  </w:num>
  <w:num w:numId="9" w16cid:durableId="2029061329">
    <w:abstractNumId w:val="3"/>
  </w:num>
  <w:num w:numId="10" w16cid:durableId="869104622">
    <w:abstractNumId w:val="0"/>
  </w:num>
  <w:num w:numId="11" w16cid:durableId="1580939717">
    <w:abstractNumId w:val="1"/>
  </w:num>
  <w:num w:numId="12" w16cid:durableId="895356334">
    <w:abstractNumId w:val="6"/>
  </w:num>
  <w:num w:numId="13" w16cid:durableId="1616325708">
    <w:abstractNumId w:val="8"/>
  </w:num>
  <w:num w:numId="14" w16cid:durableId="154498608">
    <w:abstractNumId w:val="8"/>
  </w:num>
  <w:num w:numId="15" w16cid:durableId="1356232796">
    <w:abstractNumId w:val="5"/>
  </w:num>
  <w:num w:numId="16" w16cid:durableId="47074232">
    <w:abstractNumId w:val="5"/>
  </w:num>
  <w:num w:numId="17" w16cid:durableId="987828237">
    <w:abstractNumId w:val="9"/>
  </w:num>
  <w:num w:numId="18" w16cid:durableId="2027095838">
    <w:abstractNumId w:val="2"/>
  </w:num>
  <w:num w:numId="19" w16cid:durableId="1922371483">
    <w:abstractNumId w:val="7"/>
  </w:num>
  <w:num w:numId="20" w16cid:durableId="16937295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1933D8"/>
    <w:rsid w:val="00013511"/>
    <w:rsid w:val="00025595"/>
    <w:rsid w:val="00031839"/>
    <w:rsid w:val="000378F8"/>
    <w:rsid w:val="000411B5"/>
    <w:rsid w:val="000454A1"/>
    <w:rsid w:val="00045956"/>
    <w:rsid w:val="000468BC"/>
    <w:rsid w:val="00047EB3"/>
    <w:rsid w:val="00052884"/>
    <w:rsid w:val="00054858"/>
    <w:rsid w:val="000606C3"/>
    <w:rsid w:val="000632B8"/>
    <w:rsid w:val="00063EC9"/>
    <w:rsid w:val="00064018"/>
    <w:rsid w:val="00066702"/>
    <w:rsid w:val="00067C78"/>
    <w:rsid w:val="00073B9A"/>
    <w:rsid w:val="00073BA4"/>
    <w:rsid w:val="00085147"/>
    <w:rsid w:val="00087ADB"/>
    <w:rsid w:val="00093A70"/>
    <w:rsid w:val="000956C1"/>
    <w:rsid w:val="000A10A3"/>
    <w:rsid w:val="000A6E28"/>
    <w:rsid w:val="000A6F36"/>
    <w:rsid w:val="000B1493"/>
    <w:rsid w:val="000B24BF"/>
    <w:rsid w:val="000B324C"/>
    <w:rsid w:val="000B791A"/>
    <w:rsid w:val="000B7E98"/>
    <w:rsid w:val="000C36D8"/>
    <w:rsid w:val="000C4E3B"/>
    <w:rsid w:val="000C50C4"/>
    <w:rsid w:val="000C61C7"/>
    <w:rsid w:val="000C74FB"/>
    <w:rsid w:val="000D1316"/>
    <w:rsid w:val="000D2283"/>
    <w:rsid w:val="000D2860"/>
    <w:rsid w:val="000D4C82"/>
    <w:rsid w:val="000E2446"/>
    <w:rsid w:val="000E2514"/>
    <w:rsid w:val="000E25EA"/>
    <w:rsid w:val="000E2A71"/>
    <w:rsid w:val="000F6AFD"/>
    <w:rsid w:val="000F6FCC"/>
    <w:rsid w:val="00100D7F"/>
    <w:rsid w:val="00100DFF"/>
    <w:rsid w:val="0010373E"/>
    <w:rsid w:val="00105ACB"/>
    <w:rsid w:val="0011215C"/>
    <w:rsid w:val="00114283"/>
    <w:rsid w:val="00117EDD"/>
    <w:rsid w:val="00130FCF"/>
    <w:rsid w:val="00136951"/>
    <w:rsid w:val="0014020C"/>
    <w:rsid w:val="001428DB"/>
    <w:rsid w:val="001456A9"/>
    <w:rsid w:val="00145DEA"/>
    <w:rsid w:val="001525AC"/>
    <w:rsid w:val="00160850"/>
    <w:rsid w:val="0016649B"/>
    <w:rsid w:val="00166D3D"/>
    <w:rsid w:val="001703C0"/>
    <w:rsid w:val="001708BB"/>
    <w:rsid w:val="00173DB3"/>
    <w:rsid w:val="00173E5A"/>
    <w:rsid w:val="00185343"/>
    <w:rsid w:val="0018626C"/>
    <w:rsid w:val="00190D8B"/>
    <w:rsid w:val="001933D8"/>
    <w:rsid w:val="001967E1"/>
    <w:rsid w:val="001A456B"/>
    <w:rsid w:val="001B051A"/>
    <w:rsid w:val="001B2A4B"/>
    <w:rsid w:val="001B3C05"/>
    <w:rsid w:val="001B6789"/>
    <w:rsid w:val="001C35D6"/>
    <w:rsid w:val="001C42E5"/>
    <w:rsid w:val="001D4D0A"/>
    <w:rsid w:val="001E0057"/>
    <w:rsid w:val="001E2795"/>
    <w:rsid w:val="001E2B27"/>
    <w:rsid w:val="001E4759"/>
    <w:rsid w:val="001E52A6"/>
    <w:rsid w:val="001E7E0C"/>
    <w:rsid w:val="001F14B4"/>
    <w:rsid w:val="001F1BAE"/>
    <w:rsid w:val="001F3A1B"/>
    <w:rsid w:val="001F7CF5"/>
    <w:rsid w:val="00200DE9"/>
    <w:rsid w:val="00203951"/>
    <w:rsid w:val="00210035"/>
    <w:rsid w:val="002131B5"/>
    <w:rsid w:val="00214254"/>
    <w:rsid w:val="0021681B"/>
    <w:rsid w:val="0022442C"/>
    <w:rsid w:val="0022575B"/>
    <w:rsid w:val="0022618A"/>
    <w:rsid w:val="00234A85"/>
    <w:rsid w:val="00236922"/>
    <w:rsid w:val="0024532D"/>
    <w:rsid w:val="00246429"/>
    <w:rsid w:val="00250614"/>
    <w:rsid w:val="0025176D"/>
    <w:rsid w:val="0025522A"/>
    <w:rsid w:val="002628BB"/>
    <w:rsid w:val="00263BD8"/>
    <w:rsid w:val="002651C1"/>
    <w:rsid w:val="00266A09"/>
    <w:rsid w:val="00270D0B"/>
    <w:rsid w:val="00271C49"/>
    <w:rsid w:val="002744EF"/>
    <w:rsid w:val="00274F69"/>
    <w:rsid w:val="00280ADC"/>
    <w:rsid w:val="00283001"/>
    <w:rsid w:val="00292F34"/>
    <w:rsid w:val="00294235"/>
    <w:rsid w:val="00294475"/>
    <w:rsid w:val="0029795C"/>
    <w:rsid w:val="002A0EE2"/>
    <w:rsid w:val="002A5F2C"/>
    <w:rsid w:val="002B067B"/>
    <w:rsid w:val="002B1D1F"/>
    <w:rsid w:val="002B3778"/>
    <w:rsid w:val="002B48E2"/>
    <w:rsid w:val="002C4A78"/>
    <w:rsid w:val="002C6434"/>
    <w:rsid w:val="002D27DC"/>
    <w:rsid w:val="002D5CB6"/>
    <w:rsid w:val="002E529B"/>
    <w:rsid w:val="002F22F0"/>
    <w:rsid w:val="002F31F6"/>
    <w:rsid w:val="00303875"/>
    <w:rsid w:val="0030446E"/>
    <w:rsid w:val="0030653A"/>
    <w:rsid w:val="00307218"/>
    <w:rsid w:val="00320ECA"/>
    <w:rsid w:val="003224AB"/>
    <w:rsid w:val="003227A2"/>
    <w:rsid w:val="00325EB5"/>
    <w:rsid w:val="003261CB"/>
    <w:rsid w:val="003272F1"/>
    <w:rsid w:val="00327BAE"/>
    <w:rsid w:val="00331707"/>
    <w:rsid w:val="00333DB9"/>
    <w:rsid w:val="003370BD"/>
    <w:rsid w:val="00340820"/>
    <w:rsid w:val="00340BD9"/>
    <w:rsid w:val="00343B51"/>
    <w:rsid w:val="00343C93"/>
    <w:rsid w:val="00350865"/>
    <w:rsid w:val="00351312"/>
    <w:rsid w:val="003515B4"/>
    <w:rsid w:val="003522E2"/>
    <w:rsid w:val="00353B01"/>
    <w:rsid w:val="003560F5"/>
    <w:rsid w:val="00356113"/>
    <w:rsid w:val="00361C4D"/>
    <w:rsid w:val="00364EA5"/>
    <w:rsid w:val="00365495"/>
    <w:rsid w:val="003656F9"/>
    <w:rsid w:val="0036789B"/>
    <w:rsid w:val="003739CE"/>
    <w:rsid w:val="003748D0"/>
    <w:rsid w:val="00376446"/>
    <w:rsid w:val="003921EB"/>
    <w:rsid w:val="0039387B"/>
    <w:rsid w:val="003A4990"/>
    <w:rsid w:val="003A5FCD"/>
    <w:rsid w:val="003A7498"/>
    <w:rsid w:val="003B2162"/>
    <w:rsid w:val="003C0CDA"/>
    <w:rsid w:val="003D1707"/>
    <w:rsid w:val="003D5EA0"/>
    <w:rsid w:val="003E1E02"/>
    <w:rsid w:val="003E25CA"/>
    <w:rsid w:val="003E4214"/>
    <w:rsid w:val="003E7515"/>
    <w:rsid w:val="003F4649"/>
    <w:rsid w:val="003F5D12"/>
    <w:rsid w:val="003F7250"/>
    <w:rsid w:val="003F7B56"/>
    <w:rsid w:val="00401E62"/>
    <w:rsid w:val="0041067F"/>
    <w:rsid w:val="004109FF"/>
    <w:rsid w:val="004113DD"/>
    <w:rsid w:val="004116CA"/>
    <w:rsid w:val="0041195B"/>
    <w:rsid w:val="004206F5"/>
    <w:rsid w:val="00422A9B"/>
    <w:rsid w:val="0042334A"/>
    <w:rsid w:val="00426C3C"/>
    <w:rsid w:val="00434B14"/>
    <w:rsid w:val="00436512"/>
    <w:rsid w:val="004376D8"/>
    <w:rsid w:val="0044098C"/>
    <w:rsid w:val="00440FC2"/>
    <w:rsid w:val="0044458B"/>
    <w:rsid w:val="00445C89"/>
    <w:rsid w:val="0045006C"/>
    <w:rsid w:val="0045588C"/>
    <w:rsid w:val="00455F70"/>
    <w:rsid w:val="00471303"/>
    <w:rsid w:val="00485057"/>
    <w:rsid w:val="0049099D"/>
    <w:rsid w:val="0049123D"/>
    <w:rsid w:val="004917AD"/>
    <w:rsid w:val="0049388D"/>
    <w:rsid w:val="00495184"/>
    <w:rsid w:val="00497A68"/>
    <w:rsid w:val="00497B61"/>
    <w:rsid w:val="004A3A1B"/>
    <w:rsid w:val="004A63AB"/>
    <w:rsid w:val="004A786A"/>
    <w:rsid w:val="004B5BFD"/>
    <w:rsid w:val="004B62CC"/>
    <w:rsid w:val="004C187E"/>
    <w:rsid w:val="004C6A99"/>
    <w:rsid w:val="004D03B4"/>
    <w:rsid w:val="004D3954"/>
    <w:rsid w:val="004D41CD"/>
    <w:rsid w:val="004D625B"/>
    <w:rsid w:val="004E0043"/>
    <w:rsid w:val="004E0C66"/>
    <w:rsid w:val="004E3043"/>
    <w:rsid w:val="004E36D7"/>
    <w:rsid w:val="004E43E7"/>
    <w:rsid w:val="004E4CF8"/>
    <w:rsid w:val="00500200"/>
    <w:rsid w:val="00510D9D"/>
    <w:rsid w:val="00512E7F"/>
    <w:rsid w:val="00520101"/>
    <w:rsid w:val="00521713"/>
    <w:rsid w:val="00524DF5"/>
    <w:rsid w:val="00531F1E"/>
    <w:rsid w:val="00533280"/>
    <w:rsid w:val="00533757"/>
    <w:rsid w:val="00533CE0"/>
    <w:rsid w:val="00535C62"/>
    <w:rsid w:val="0055469A"/>
    <w:rsid w:val="005572DD"/>
    <w:rsid w:val="00561590"/>
    <w:rsid w:val="00561689"/>
    <w:rsid w:val="00565A3D"/>
    <w:rsid w:val="00565BD8"/>
    <w:rsid w:val="005670F8"/>
    <w:rsid w:val="00576A35"/>
    <w:rsid w:val="005846C0"/>
    <w:rsid w:val="00586D18"/>
    <w:rsid w:val="00590BFC"/>
    <w:rsid w:val="00591DFA"/>
    <w:rsid w:val="00593EC8"/>
    <w:rsid w:val="00594354"/>
    <w:rsid w:val="00595B4A"/>
    <w:rsid w:val="005969D1"/>
    <w:rsid w:val="00596F86"/>
    <w:rsid w:val="005A008A"/>
    <w:rsid w:val="005A0F9C"/>
    <w:rsid w:val="005A2927"/>
    <w:rsid w:val="005A4092"/>
    <w:rsid w:val="005A4625"/>
    <w:rsid w:val="005B30D1"/>
    <w:rsid w:val="005B6462"/>
    <w:rsid w:val="005C095B"/>
    <w:rsid w:val="005C0B91"/>
    <w:rsid w:val="005C1972"/>
    <w:rsid w:val="005C6D7E"/>
    <w:rsid w:val="005C7657"/>
    <w:rsid w:val="005C7F82"/>
    <w:rsid w:val="005D2579"/>
    <w:rsid w:val="005D5C66"/>
    <w:rsid w:val="005E2A73"/>
    <w:rsid w:val="005E4FDA"/>
    <w:rsid w:val="005E60F9"/>
    <w:rsid w:val="005F3FC6"/>
    <w:rsid w:val="005F4DED"/>
    <w:rsid w:val="005F5578"/>
    <w:rsid w:val="0061022F"/>
    <w:rsid w:val="00613A0F"/>
    <w:rsid w:val="0061409A"/>
    <w:rsid w:val="0061444D"/>
    <w:rsid w:val="0061488A"/>
    <w:rsid w:val="006149EE"/>
    <w:rsid w:val="00614CD2"/>
    <w:rsid w:val="006152F5"/>
    <w:rsid w:val="00617B63"/>
    <w:rsid w:val="006246B8"/>
    <w:rsid w:val="00624F6E"/>
    <w:rsid w:val="0062546A"/>
    <w:rsid w:val="00626AA7"/>
    <w:rsid w:val="00627EE4"/>
    <w:rsid w:val="0063111D"/>
    <w:rsid w:val="00634EBE"/>
    <w:rsid w:val="00636558"/>
    <w:rsid w:val="006403FC"/>
    <w:rsid w:val="00641118"/>
    <w:rsid w:val="0065199B"/>
    <w:rsid w:val="00654A62"/>
    <w:rsid w:val="00655453"/>
    <w:rsid w:val="00662099"/>
    <w:rsid w:val="00667FED"/>
    <w:rsid w:val="00675C0B"/>
    <w:rsid w:val="0068211E"/>
    <w:rsid w:val="00690128"/>
    <w:rsid w:val="0069056D"/>
    <w:rsid w:val="00694807"/>
    <w:rsid w:val="006A2F16"/>
    <w:rsid w:val="006A54C2"/>
    <w:rsid w:val="006A644C"/>
    <w:rsid w:val="006B0812"/>
    <w:rsid w:val="006B2AAF"/>
    <w:rsid w:val="006B2DF3"/>
    <w:rsid w:val="006B7F16"/>
    <w:rsid w:val="006C3553"/>
    <w:rsid w:val="006D1C7E"/>
    <w:rsid w:val="006D3F65"/>
    <w:rsid w:val="006D4BF5"/>
    <w:rsid w:val="006D5322"/>
    <w:rsid w:val="006D795A"/>
    <w:rsid w:val="006E0991"/>
    <w:rsid w:val="006E3C79"/>
    <w:rsid w:val="006E530A"/>
    <w:rsid w:val="006F3CBB"/>
    <w:rsid w:val="006F5FCD"/>
    <w:rsid w:val="006F7709"/>
    <w:rsid w:val="0070306D"/>
    <w:rsid w:val="007109A5"/>
    <w:rsid w:val="0071579F"/>
    <w:rsid w:val="00715D54"/>
    <w:rsid w:val="00725C15"/>
    <w:rsid w:val="0073189D"/>
    <w:rsid w:val="007355AB"/>
    <w:rsid w:val="00737D4D"/>
    <w:rsid w:val="00745D42"/>
    <w:rsid w:val="0076128D"/>
    <w:rsid w:val="00762DF2"/>
    <w:rsid w:val="007652A7"/>
    <w:rsid w:val="00765B19"/>
    <w:rsid w:val="00770CA8"/>
    <w:rsid w:val="007875A8"/>
    <w:rsid w:val="00790737"/>
    <w:rsid w:val="00796911"/>
    <w:rsid w:val="007A1370"/>
    <w:rsid w:val="007A154F"/>
    <w:rsid w:val="007A3090"/>
    <w:rsid w:val="007A4A53"/>
    <w:rsid w:val="007A58FE"/>
    <w:rsid w:val="007A6C74"/>
    <w:rsid w:val="007B0430"/>
    <w:rsid w:val="007B043B"/>
    <w:rsid w:val="007B32D0"/>
    <w:rsid w:val="007B3ED7"/>
    <w:rsid w:val="007B493B"/>
    <w:rsid w:val="007B6EE2"/>
    <w:rsid w:val="007B7876"/>
    <w:rsid w:val="007C4121"/>
    <w:rsid w:val="007C77B6"/>
    <w:rsid w:val="007D09D1"/>
    <w:rsid w:val="007D0A5E"/>
    <w:rsid w:val="007D217F"/>
    <w:rsid w:val="007D494B"/>
    <w:rsid w:val="007D7BDB"/>
    <w:rsid w:val="007E4B05"/>
    <w:rsid w:val="007F0715"/>
    <w:rsid w:val="007F11DC"/>
    <w:rsid w:val="007F1B1F"/>
    <w:rsid w:val="00801ED4"/>
    <w:rsid w:val="008101BF"/>
    <w:rsid w:val="008275D5"/>
    <w:rsid w:val="008353B6"/>
    <w:rsid w:val="00851E3C"/>
    <w:rsid w:val="008579E7"/>
    <w:rsid w:val="00860038"/>
    <w:rsid w:val="00872BD0"/>
    <w:rsid w:val="00874BA3"/>
    <w:rsid w:val="008754AF"/>
    <w:rsid w:val="008774D7"/>
    <w:rsid w:val="00877908"/>
    <w:rsid w:val="00877D9E"/>
    <w:rsid w:val="00886489"/>
    <w:rsid w:val="008908FC"/>
    <w:rsid w:val="008909DF"/>
    <w:rsid w:val="00896BC6"/>
    <w:rsid w:val="00897B51"/>
    <w:rsid w:val="008A0A15"/>
    <w:rsid w:val="008A1D6B"/>
    <w:rsid w:val="008A5C60"/>
    <w:rsid w:val="008B31A4"/>
    <w:rsid w:val="008B6803"/>
    <w:rsid w:val="008C0047"/>
    <w:rsid w:val="008C41A6"/>
    <w:rsid w:val="008C4355"/>
    <w:rsid w:val="008C59B3"/>
    <w:rsid w:val="008C6003"/>
    <w:rsid w:val="008D175A"/>
    <w:rsid w:val="008D2A6E"/>
    <w:rsid w:val="008D42DE"/>
    <w:rsid w:val="008D5A05"/>
    <w:rsid w:val="008E0708"/>
    <w:rsid w:val="008E3FEC"/>
    <w:rsid w:val="008E49DC"/>
    <w:rsid w:val="008E7852"/>
    <w:rsid w:val="008E7896"/>
    <w:rsid w:val="008F6306"/>
    <w:rsid w:val="0090169D"/>
    <w:rsid w:val="00904105"/>
    <w:rsid w:val="00906054"/>
    <w:rsid w:val="0091562F"/>
    <w:rsid w:val="0091642C"/>
    <w:rsid w:val="00917401"/>
    <w:rsid w:val="00917F89"/>
    <w:rsid w:val="00920C52"/>
    <w:rsid w:val="00924D99"/>
    <w:rsid w:val="00925CF0"/>
    <w:rsid w:val="00935533"/>
    <w:rsid w:val="0093580F"/>
    <w:rsid w:val="00935EFB"/>
    <w:rsid w:val="00940388"/>
    <w:rsid w:val="00942F93"/>
    <w:rsid w:val="00947F93"/>
    <w:rsid w:val="00951721"/>
    <w:rsid w:val="0095414D"/>
    <w:rsid w:val="00957E59"/>
    <w:rsid w:val="00963EAE"/>
    <w:rsid w:val="0096424E"/>
    <w:rsid w:val="009643EE"/>
    <w:rsid w:val="00970331"/>
    <w:rsid w:val="00970D15"/>
    <w:rsid w:val="00973871"/>
    <w:rsid w:val="00977976"/>
    <w:rsid w:val="009816FD"/>
    <w:rsid w:val="00981C5D"/>
    <w:rsid w:val="00982EB8"/>
    <w:rsid w:val="00993822"/>
    <w:rsid w:val="00994DAF"/>
    <w:rsid w:val="00996B52"/>
    <w:rsid w:val="009A0718"/>
    <w:rsid w:val="009A4891"/>
    <w:rsid w:val="009B0357"/>
    <w:rsid w:val="009B287E"/>
    <w:rsid w:val="009B31B8"/>
    <w:rsid w:val="009B4691"/>
    <w:rsid w:val="009C4CCE"/>
    <w:rsid w:val="009C5A89"/>
    <w:rsid w:val="009C6ACE"/>
    <w:rsid w:val="009C7E9C"/>
    <w:rsid w:val="009D036F"/>
    <w:rsid w:val="009D3038"/>
    <w:rsid w:val="009D4075"/>
    <w:rsid w:val="009D620A"/>
    <w:rsid w:val="009E036E"/>
    <w:rsid w:val="009E063E"/>
    <w:rsid w:val="009E34D4"/>
    <w:rsid w:val="009E48BF"/>
    <w:rsid w:val="009E7CA5"/>
    <w:rsid w:val="009F1924"/>
    <w:rsid w:val="00A015C4"/>
    <w:rsid w:val="00A018E8"/>
    <w:rsid w:val="00A07680"/>
    <w:rsid w:val="00A10E6E"/>
    <w:rsid w:val="00A1554B"/>
    <w:rsid w:val="00A20CB9"/>
    <w:rsid w:val="00A248DE"/>
    <w:rsid w:val="00A257C0"/>
    <w:rsid w:val="00A27575"/>
    <w:rsid w:val="00A27CAB"/>
    <w:rsid w:val="00A43B86"/>
    <w:rsid w:val="00A46756"/>
    <w:rsid w:val="00A47CAE"/>
    <w:rsid w:val="00A52218"/>
    <w:rsid w:val="00A52618"/>
    <w:rsid w:val="00A54180"/>
    <w:rsid w:val="00A561D5"/>
    <w:rsid w:val="00A6152A"/>
    <w:rsid w:val="00A618EC"/>
    <w:rsid w:val="00A62820"/>
    <w:rsid w:val="00A652F6"/>
    <w:rsid w:val="00A72B44"/>
    <w:rsid w:val="00A75FA4"/>
    <w:rsid w:val="00A778A8"/>
    <w:rsid w:val="00A8244B"/>
    <w:rsid w:val="00A84ED5"/>
    <w:rsid w:val="00A854D8"/>
    <w:rsid w:val="00A91E3B"/>
    <w:rsid w:val="00A926BB"/>
    <w:rsid w:val="00A94398"/>
    <w:rsid w:val="00A94925"/>
    <w:rsid w:val="00A97F7E"/>
    <w:rsid w:val="00AA31FD"/>
    <w:rsid w:val="00AA3EF2"/>
    <w:rsid w:val="00AA46E3"/>
    <w:rsid w:val="00AA48B1"/>
    <w:rsid w:val="00AA6416"/>
    <w:rsid w:val="00AA6531"/>
    <w:rsid w:val="00AB2E2E"/>
    <w:rsid w:val="00AB72D4"/>
    <w:rsid w:val="00AB764F"/>
    <w:rsid w:val="00AC2543"/>
    <w:rsid w:val="00AC281B"/>
    <w:rsid w:val="00AD2B4B"/>
    <w:rsid w:val="00AE34D3"/>
    <w:rsid w:val="00AE565A"/>
    <w:rsid w:val="00AE5F3E"/>
    <w:rsid w:val="00AE7AB5"/>
    <w:rsid w:val="00AF2F85"/>
    <w:rsid w:val="00AF3296"/>
    <w:rsid w:val="00AF6726"/>
    <w:rsid w:val="00AF7568"/>
    <w:rsid w:val="00B00949"/>
    <w:rsid w:val="00B03901"/>
    <w:rsid w:val="00B25072"/>
    <w:rsid w:val="00B328D5"/>
    <w:rsid w:val="00B34481"/>
    <w:rsid w:val="00B373CD"/>
    <w:rsid w:val="00B41869"/>
    <w:rsid w:val="00B41A1C"/>
    <w:rsid w:val="00B52188"/>
    <w:rsid w:val="00B526A9"/>
    <w:rsid w:val="00B55503"/>
    <w:rsid w:val="00B573BA"/>
    <w:rsid w:val="00B61A71"/>
    <w:rsid w:val="00B65243"/>
    <w:rsid w:val="00B71D27"/>
    <w:rsid w:val="00B80AD3"/>
    <w:rsid w:val="00B87A93"/>
    <w:rsid w:val="00B921E5"/>
    <w:rsid w:val="00B95DA6"/>
    <w:rsid w:val="00B9676E"/>
    <w:rsid w:val="00BA2683"/>
    <w:rsid w:val="00BA2952"/>
    <w:rsid w:val="00BA4E69"/>
    <w:rsid w:val="00BB3C20"/>
    <w:rsid w:val="00BB6EAD"/>
    <w:rsid w:val="00BC1A06"/>
    <w:rsid w:val="00BD2211"/>
    <w:rsid w:val="00BD240C"/>
    <w:rsid w:val="00BD335A"/>
    <w:rsid w:val="00BD47DE"/>
    <w:rsid w:val="00BD6475"/>
    <w:rsid w:val="00BE2503"/>
    <w:rsid w:val="00BE2C4A"/>
    <w:rsid w:val="00BE440A"/>
    <w:rsid w:val="00BE6561"/>
    <w:rsid w:val="00BE6DC5"/>
    <w:rsid w:val="00BF53B7"/>
    <w:rsid w:val="00BF5CB0"/>
    <w:rsid w:val="00C074D3"/>
    <w:rsid w:val="00C11E5D"/>
    <w:rsid w:val="00C14216"/>
    <w:rsid w:val="00C166E7"/>
    <w:rsid w:val="00C22082"/>
    <w:rsid w:val="00C26BDB"/>
    <w:rsid w:val="00C27B18"/>
    <w:rsid w:val="00C32FA7"/>
    <w:rsid w:val="00C3380F"/>
    <w:rsid w:val="00C401F3"/>
    <w:rsid w:val="00C44DE4"/>
    <w:rsid w:val="00C456F9"/>
    <w:rsid w:val="00C45A54"/>
    <w:rsid w:val="00C46A28"/>
    <w:rsid w:val="00C528BE"/>
    <w:rsid w:val="00C53220"/>
    <w:rsid w:val="00C566F3"/>
    <w:rsid w:val="00C63604"/>
    <w:rsid w:val="00C7383C"/>
    <w:rsid w:val="00C7733B"/>
    <w:rsid w:val="00C77F6F"/>
    <w:rsid w:val="00C82F20"/>
    <w:rsid w:val="00C925D0"/>
    <w:rsid w:val="00C976E7"/>
    <w:rsid w:val="00CA1767"/>
    <w:rsid w:val="00CA556C"/>
    <w:rsid w:val="00CA7A25"/>
    <w:rsid w:val="00CB3381"/>
    <w:rsid w:val="00CB4A5E"/>
    <w:rsid w:val="00CC5286"/>
    <w:rsid w:val="00CC644F"/>
    <w:rsid w:val="00CD3A51"/>
    <w:rsid w:val="00CD5BCF"/>
    <w:rsid w:val="00CE1623"/>
    <w:rsid w:val="00CE5302"/>
    <w:rsid w:val="00CE6F15"/>
    <w:rsid w:val="00D010E4"/>
    <w:rsid w:val="00D050FA"/>
    <w:rsid w:val="00D0531F"/>
    <w:rsid w:val="00D059E3"/>
    <w:rsid w:val="00D05D88"/>
    <w:rsid w:val="00D2028A"/>
    <w:rsid w:val="00D2221D"/>
    <w:rsid w:val="00D27A50"/>
    <w:rsid w:val="00D31710"/>
    <w:rsid w:val="00D35555"/>
    <w:rsid w:val="00D361DD"/>
    <w:rsid w:val="00D430DB"/>
    <w:rsid w:val="00D50E03"/>
    <w:rsid w:val="00D522E4"/>
    <w:rsid w:val="00D629F6"/>
    <w:rsid w:val="00D725D1"/>
    <w:rsid w:val="00D72DD2"/>
    <w:rsid w:val="00D76583"/>
    <w:rsid w:val="00D865F4"/>
    <w:rsid w:val="00D87AA7"/>
    <w:rsid w:val="00D91E3C"/>
    <w:rsid w:val="00D944C3"/>
    <w:rsid w:val="00D95838"/>
    <w:rsid w:val="00D976C3"/>
    <w:rsid w:val="00DA2EF1"/>
    <w:rsid w:val="00DA357B"/>
    <w:rsid w:val="00DA5046"/>
    <w:rsid w:val="00DB18C6"/>
    <w:rsid w:val="00DB2D18"/>
    <w:rsid w:val="00DB48F3"/>
    <w:rsid w:val="00DC3F3D"/>
    <w:rsid w:val="00DC7502"/>
    <w:rsid w:val="00DD50C3"/>
    <w:rsid w:val="00DE545F"/>
    <w:rsid w:val="00DE56D5"/>
    <w:rsid w:val="00DE6141"/>
    <w:rsid w:val="00DF0D85"/>
    <w:rsid w:val="00DF5FEC"/>
    <w:rsid w:val="00DF7D69"/>
    <w:rsid w:val="00E01414"/>
    <w:rsid w:val="00E014C7"/>
    <w:rsid w:val="00E023DC"/>
    <w:rsid w:val="00E04408"/>
    <w:rsid w:val="00E0660D"/>
    <w:rsid w:val="00E110A7"/>
    <w:rsid w:val="00E1214A"/>
    <w:rsid w:val="00E16A1B"/>
    <w:rsid w:val="00E22838"/>
    <w:rsid w:val="00E232AD"/>
    <w:rsid w:val="00E2551A"/>
    <w:rsid w:val="00E269D6"/>
    <w:rsid w:val="00E27013"/>
    <w:rsid w:val="00E301F9"/>
    <w:rsid w:val="00E31135"/>
    <w:rsid w:val="00E3120A"/>
    <w:rsid w:val="00E35A26"/>
    <w:rsid w:val="00E40B54"/>
    <w:rsid w:val="00E566D5"/>
    <w:rsid w:val="00E56BD4"/>
    <w:rsid w:val="00E56FC2"/>
    <w:rsid w:val="00E575D5"/>
    <w:rsid w:val="00E62669"/>
    <w:rsid w:val="00E62A9D"/>
    <w:rsid w:val="00E65337"/>
    <w:rsid w:val="00E73E62"/>
    <w:rsid w:val="00E75876"/>
    <w:rsid w:val="00E7748F"/>
    <w:rsid w:val="00E7767C"/>
    <w:rsid w:val="00E81093"/>
    <w:rsid w:val="00E81E82"/>
    <w:rsid w:val="00E840CA"/>
    <w:rsid w:val="00E9015C"/>
    <w:rsid w:val="00E91878"/>
    <w:rsid w:val="00E919F2"/>
    <w:rsid w:val="00EA0EB0"/>
    <w:rsid w:val="00EA3AA8"/>
    <w:rsid w:val="00EB41B9"/>
    <w:rsid w:val="00EB5655"/>
    <w:rsid w:val="00EB75B9"/>
    <w:rsid w:val="00EC08A7"/>
    <w:rsid w:val="00EC0F9E"/>
    <w:rsid w:val="00EC2173"/>
    <w:rsid w:val="00ED2983"/>
    <w:rsid w:val="00ED518E"/>
    <w:rsid w:val="00ED6300"/>
    <w:rsid w:val="00EE046D"/>
    <w:rsid w:val="00EE192C"/>
    <w:rsid w:val="00EF2737"/>
    <w:rsid w:val="00F03636"/>
    <w:rsid w:val="00F070C2"/>
    <w:rsid w:val="00F075D3"/>
    <w:rsid w:val="00F1473F"/>
    <w:rsid w:val="00F16F10"/>
    <w:rsid w:val="00F20DD9"/>
    <w:rsid w:val="00F21762"/>
    <w:rsid w:val="00F25049"/>
    <w:rsid w:val="00F25BEE"/>
    <w:rsid w:val="00F26A59"/>
    <w:rsid w:val="00F272F5"/>
    <w:rsid w:val="00F323D1"/>
    <w:rsid w:val="00F34AE5"/>
    <w:rsid w:val="00F42654"/>
    <w:rsid w:val="00F45599"/>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B19"/>
    <w:rsid w:val="00F72478"/>
    <w:rsid w:val="00F744E4"/>
    <w:rsid w:val="00F74E4A"/>
    <w:rsid w:val="00F75DED"/>
    <w:rsid w:val="00F81513"/>
    <w:rsid w:val="00F8629E"/>
    <w:rsid w:val="00F8787E"/>
    <w:rsid w:val="00F9412B"/>
    <w:rsid w:val="00F96402"/>
    <w:rsid w:val="00F97122"/>
    <w:rsid w:val="00F97884"/>
    <w:rsid w:val="00FB0ACE"/>
    <w:rsid w:val="00FB46BF"/>
    <w:rsid w:val="00FB704D"/>
    <w:rsid w:val="00FC2372"/>
    <w:rsid w:val="00FC2B78"/>
    <w:rsid w:val="00FC2B9C"/>
    <w:rsid w:val="00FC2EF9"/>
    <w:rsid w:val="00FC3B72"/>
    <w:rsid w:val="00FC61A2"/>
    <w:rsid w:val="00FE510C"/>
    <w:rsid w:val="00FE79BE"/>
    <w:rsid w:val="00FF24E5"/>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A331"/>
  <w15:docId w15:val="{20E30106-1169-D448-AEB2-684F8F5A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3227A2"/>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FF24E5"/>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C45A54"/>
    <w:pPr>
      <w:numPr>
        <w:numId w:val="11"/>
      </w:numPr>
      <w:ind w:left="714" w:hanging="357"/>
    </w:pPr>
  </w:style>
  <w:style w:type="paragraph" w:customStyle="1" w:styleId="VRQABullet1">
    <w:name w:val="VRQA Bullet 1"/>
    <w:basedOn w:val="Normal"/>
    <w:qFormat/>
    <w:rsid w:val="001933D8"/>
    <w:pPr>
      <w:numPr>
        <w:numId w:val="9"/>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3E1E02"/>
    <w:pPr>
      <w:spacing w:before="240" w:after="240" w:line="264" w:lineRule="auto"/>
    </w:pPr>
    <w:rPr>
      <w:sz w:val="22"/>
    </w:rPr>
  </w:style>
  <w:style w:type="paragraph" w:customStyle="1" w:styleId="VRQABodyText">
    <w:name w:val="VRQA Body Text"/>
    <w:basedOn w:val="Normal"/>
    <w:qFormat/>
    <w:rsid w:val="00FF24E5"/>
    <w:pPr>
      <w:spacing w:before="120" w:after="120" w:line="264" w:lineRule="auto"/>
    </w:pPr>
    <w:rPr>
      <w:rFonts w:ascii="Arial" w:hAnsi="Arial"/>
      <w:color w:val="53565A"/>
      <w:sz w:val="20"/>
      <w:lang w:val="en-AU"/>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114283"/>
    <w:rPr>
      <w:color w:val="007EB3"/>
      <w:sz w:val="20"/>
    </w:rPr>
  </w:style>
  <w:style w:type="paragraph" w:customStyle="1" w:styleId="VRQATableHeading1">
    <w:name w:val="VRQA Table Heading 1"/>
    <w:basedOn w:val="VRQASubheading1"/>
    <w:qFormat/>
    <w:rsid w:val="00114283"/>
    <w:pPr>
      <w:spacing w:before="120" w:after="120"/>
      <w:outlineLvl w:val="9"/>
    </w:pPr>
    <w:rPr>
      <w:color w:val="F8F8F8"/>
      <w:sz w:val="18"/>
      <w:szCs w:val="24"/>
      <w:lang w:val="en-US"/>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C45A54"/>
    <w:pPr>
      <w:tabs>
        <w:tab w:val="right" w:pos="10206"/>
      </w:tabs>
      <w:spacing w:after="0" w:line="240" w:lineRule="auto"/>
    </w:pPr>
    <w:rPr>
      <w:rFonts w:ascii="Arial" w:hAnsi="Arial" w:cs="Arial"/>
      <w:color w:val="53565A"/>
      <w:sz w:val="18"/>
      <w:szCs w:val="18"/>
      <w:lang w:val="en-AU"/>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val="en-AU"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val="en-AU"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val="en-AU"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val="en-AU"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114283"/>
    <w:rPr>
      <w:b w:val="0"/>
      <w:color w:val="007EB3" w:themeColor="accent1"/>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val="en-AU" w:eastAsia="en-AU"/>
    </w:rPr>
  </w:style>
  <w:style w:type="numbering" w:customStyle="1" w:styleId="CurrentList1">
    <w:name w:val="Current List1"/>
    <w:uiPriority w:val="99"/>
    <w:rsid w:val="001933D8"/>
    <w:pPr>
      <w:numPr>
        <w:numId w:val="18"/>
      </w:numPr>
    </w:pPr>
  </w:style>
  <w:style w:type="numbering" w:customStyle="1" w:styleId="CurrentList2">
    <w:name w:val="Current List2"/>
    <w:uiPriority w:val="99"/>
    <w:rsid w:val="001933D8"/>
    <w:pPr>
      <w:numPr>
        <w:numId w:val="19"/>
      </w:numPr>
    </w:pPr>
  </w:style>
  <w:style w:type="numbering" w:customStyle="1" w:styleId="CurrentList3">
    <w:name w:val="Current List3"/>
    <w:uiPriority w:val="99"/>
    <w:rsid w:val="00C32FA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duvic.sharepoint.com/sites/VRQA/Templates%20and%20Style%20Guides/Microsoft%20Office%20templates/Portrait-Template-NoCover.dotx" TargetMode="External"/></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E45F33C96C134F82A78C61BC8F580E" ma:contentTypeVersion="11" ma:contentTypeDescription="Create a new document." ma:contentTypeScope="" ma:versionID="461efd8e95ce9b7832452c6ec141743d">
  <xsd:schema xmlns:xsd="http://www.w3.org/2001/XMLSchema" xmlns:xs="http://www.w3.org/2001/XMLSchema" xmlns:p="http://schemas.microsoft.com/office/2006/metadata/properties" xmlns:ns2="3f9db442-0db4-447e-88a5-7449b8e409e6" xmlns:ns3="ee88def8-0e79-4e89-8c15-eafb16eaec28" targetNamespace="http://schemas.microsoft.com/office/2006/metadata/properties" ma:root="true" ma:fieldsID="0f0d03109b6b3864241a094dd68cf3db" ns2:_="" ns3:_="">
    <xsd:import namespace="3f9db442-0db4-447e-88a5-7449b8e409e6"/>
    <xsd:import namespace="ee88def8-0e79-4e89-8c15-eafb16ea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db442-0db4-447e-88a5-7449b8e4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def8-0e79-4e89-8c15-eafb16eaec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069775-4469-403e-a4ba-14d97c823ce4}" ma:internalName="TaxCatchAll" ma:showField="CatchAllData" ma:web="ee88def8-0e79-4e89-8c15-eafb16eae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88def8-0e79-4e89-8c15-eafb16eaec28" xsi:nil="true"/>
    <lcf76f155ced4ddcb4097134ff3c332f xmlns="3f9db442-0db4-447e-88a5-7449b8e40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E0E6B-12CD-476D-B3B6-A1F922CD870B}">
  <ds:schemaRefs>
    <ds:schemaRef ds:uri="http://schemas.microsoft.com/sharepoint/v3/contenttype/forms"/>
  </ds:schemaRefs>
</ds:datastoreItem>
</file>

<file path=customXml/itemProps2.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3.xml><?xml version="1.0" encoding="utf-8"?>
<ds:datastoreItem xmlns:ds="http://schemas.openxmlformats.org/officeDocument/2006/customXml" ds:itemID="{5C7BF2AC-EDF6-449D-B922-A2506406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db442-0db4-447e-88a5-7449b8e409e6"/>
    <ds:schemaRef ds:uri="ee88def8-0e79-4e89-8c15-eafb16ea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55EA6-0BB3-42C2-A1D2-34AFF2374AC3}">
  <ds:schemaRefs>
    <ds:schemaRef ds:uri="http://schemas.microsoft.com/office/2006/metadata/properties"/>
    <ds:schemaRef ds:uri="http://schemas.microsoft.com/office/infopath/2007/PartnerControls"/>
    <ds:schemaRef ds:uri="ee88def8-0e79-4e89-8c15-eafb16eaec28"/>
    <ds:schemaRef ds:uri="3f9db442-0db4-447e-88a5-7449b8e409e6"/>
  </ds:schemaRefs>
</ds:datastoreItem>
</file>

<file path=docProps/app.xml><?xml version="1.0" encoding="utf-8"?>
<Properties xmlns="http://schemas.openxmlformats.org/officeDocument/2006/extended-properties" xmlns:vt="http://schemas.openxmlformats.org/officeDocument/2006/docPropsVTypes">
  <Template>Portrait-Template-NoCover.dotx</Template>
  <TotalTime>2</TotalTime>
  <Pages>3</Pages>
  <Words>922</Words>
  <Characters>5259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VRQATemplateA4NoCover</vt:lpstr>
    </vt:vector>
  </TitlesOfParts>
  <Manager>Victorian Registration and Qualifications Authority (VRQA)</Manager>
  <Company>Department of Education and Training</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VRQATemplateA4NoCover</dc:title>
  <dc:subject>Application for Registration for Home Schooling</dc:subject>
  <dc:creator>Microsoft Office User</dc:creator>
  <cp:keywords>template</cp:keywords>
  <dc:description/>
  <cp:lastModifiedBy>Ashling Cardwell</cp:lastModifiedBy>
  <cp:revision>2</cp:revision>
  <cp:lastPrinted>2020-03-19T22:06:00Z</cp:lastPrinted>
  <dcterms:created xsi:type="dcterms:W3CDTF">2026-02-15T23:21:00Z</dcterms:created>
  <dcterms:modified xsi:type="dcterms:W3CDTF">2026-02-15T23:21:00Z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0x01010068E45F33C96C134F82A78C61BC8F580E</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2023-07-07T16:42:17.9190564+10:00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y fmtid="{D5CDD505-2E9C-101B-9397-08002B2CF9AE}" pid="21" name="MediaServiceImageTags">
    <vt:lpwstr/>
  </property>
</Properties>
</file>