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86B" w14:textId="5D60D96B" w:rsidR="005A6AB4" w:rsidRDefault="00F55CE5" w:rsidP="00FD58F9">
      <w:pPr>
        <w:pStyle w:val="TOCHead"/>
        <w:sectPr w:rsidR="005A6AB4" w:rsidSect="00D61B3A">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134" w:left="1701" w:header="680" w:footer="680" w:gutter="0"/>
          <w:cols w:space="708"/>
          <w:docGrid w:linePitch="360"/>
        </w:sectPr>
      </w:pPr>
      <w:bookmarkStart w:id="0" w:name="_Toc198635445"/>
      <w:r>
        <w:rPr>
          <w:noProof/>
        </w:rPr>
        <w:drawing>
          <wp:anchor distT="0" distB="0" distL="114300" distR="114300" simplePos="0" relativeHeight="251658240" behindDoc="0" locked="0" layoutInCell="1" allowOverlap="1" wp14:anchorId="6781BFBA" wp14:editId="354CE081">
            <wp:simplePos x="0" y="0"/>
            <wp:positionH relativeFrom="page">
              <wp:posOffset>19251</wp:posOffset>
            </wp:positionH>
            <wp:positionV relativeFrom="page">
              <wp:posOffset>444</wp:posOffset>
            </wp:positionV>
            <wp:extent cx="7527600" cy="10647911"/>
            <wp:effectExtent l="0" t="0" r="0" b="1270"/>
            <wp:wrapNone/>
            <wp:docPr id="685919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19929"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7600" cy="10647911"/>
                    </a:xfrm>
                    <a:prstGeom prst="rect">
                      <a:avLst/>
                    </a:prstGeom>
                  </pic:spPr>
                </pic:pic>
              </a:graphicData>
            </a:graphic>
            <wp14:sizeRelH relativeFrom="page">
              <wp14:pctWidth>0</wp14:pctWidth>
            </wp14:sizeRelH>
            <wp14:sizeRelV relativeFrom="page">
              <wp14:pctHeight>0</wp14:pctHeight>
            </wp14:sizeRelV>
          </wp:anchor>
        </w:drawing>
      </w:r>
    </w:p>
    <w:p w14:paraId="581D33F6" w14:textId="399D5C01" w:rsidR="00E47452" w:rsidRPr="00E47452" w:rsidRDefault="00E47452" w:rsidP="00FD58F9">
      <w:pPr>
        <w:pStyle w:val="TOCHead"/>
      </w:pPr>
      <w:r w:rsidRPr="00E47452">
        <w:lastRenderedPageBreak/>
        <w:t>Contents</w:t>
      </w:r>
      <w:bookmarkEnd w:id="0"/>
    </w:p>
    <w:sdt>
      <w:sdtPr>
        <w:id w:val="-1534878577"/>
        <w:docPartObj>
          <w:docPartGallery w:val="Table of Contents"/>
          <w:docPartUnique/>
        </w:docPartObj>
      </w:sdtPr>
      <w:sdtEndPr>
        <w:rPr>
          <w:lang w:val="en-GB"/>
        </w:rPr>
      </w:sdtEndPr>
      <w:sdtContent>
        <w:p w14:paraId="645FDC7B" w14:textId="30DA092A" w:rsidR="003B66AD" w:rsidRDefault="00D01A8B">
          <w:pPr>
            <w:pStyle w:val="TOC1"/>
            <w:rPr>
              <w:rFonts w:eastAsiaTheme="minorEastAsia"/>
              <w:noProof/>
              <w:sz w:val="24"/>
              <w:szCs w:val="24"/>
              <w:lang w:eastAsia="en-AU"/>
            </w:rPr>
          </w:pPr>
          <w:r>
            <w:rPr>
              <w:lang w:val="en-GB"/>
            </w:rPr>
            <w:fldChar w:fldCharType="begin"/>
          </w:r>
          <w:r>
            <w:rPr>
              <w:lang w:val="en-GB"/>
            </w:rPr>
            <w:instrText xml:space="preserve"> TOC \h \z \t "Head 2,1" </w:instrText>
          </w:r>
          <w:r>
            <w:rPr>
              <w:lang w:val="en-GB"/>
            </w:rPr>
            <w:fldChar w:fldCharType="separate"/>
          </w:r>
          <w:hyperlink w:anchor="_Toc210127786" w:history="1">
            <w:r w:rsidR="003B66AD" w:rsidRPr="001C4385">
              <w:rPr>
                <w:rStyle w:val="Hyperlink"/>
                <w:noProof/>
              </w:rPr>
              <w:t>Reporting requirements</w:t>
            </w:r>
            <w:r w:rsidR="003B66AD">
              <w:rPr>
                <w:noProof/>
                <w:webHidden/>
              </w:rPr>
              <w:tab/>
            </w:r>
            <w:r w:rsidR="003B66AD">
              <w:rPr>
                <w:noProof/>
                <w:webHidden/>
              </w:rPr>
              <w:fldChar w:fldCharType="begin"/>
            </w:r>
            <w:r w:rsidR="003B66AD">
              <w:rPr>
                <w:noProof/>
                <w:webHidden/>
              </w:rPr>
              <w:instrText xml:space="preserve"> PAGEREF _Toc210127786 \h </w:instrText>
            </w:r>
            <w:r w:rsidR="003B66AD">
              <w:rPr>
                <w:noProof/>
                <w:webHidden/>
              </w:rPr>
            </w:r>
            <w:r w:rsidR="003B66AD">
              <w:rPr>
                <w:noProof/>
                <w:webHidden/>
              </w:rPr>
              <w:fldChar w:fldCharType="separate"/>
            </w:r>
            <w:r w:rsidR="00F53DBE">
              <w:rPr>
                <w:noProof/>
                <w:webHidden/>
              </w:rPr>
              <w:t>1</w:t>
            </w:r>
            <w:r w:rsidR="003B66AD">
              <w:rPr>
                <w:noProof/>
                <w:webHidden/>
              </w:rPr>
              <w:fldChar w:fldCharType="end"/>
            </w:r>
          </w:hyperlink>
        </w:p>
        <w:p w14:paraId="4C9A368C" w14:textId="7B38B607" w:rsidR="003B66AD" w:rsidRDefault="003B66AD">
          <w:pPr>
            <w:pStyle w:val="TOC1"/>
            <w:rPr>
              <w:rFonts w:eastAsiaTheme="minorEastAsia"/>
              <w:noProof/>
              <w:sz w:val="24"/>
              <w:szCs w:val="24"/>
              <w:lang w:eastAsia="en-AU"/>
            </w:rPr>
          </w:pPr>
          <w:hyperlink w:anchor="_Toc210127787" w:history="1">
            <w:r w:rsidRPr="001C4385">
              <w:rPr>
                <w:rStyle w:val="Hyperlink"/>
                <w:noProof/>
              </w:rPr>
              <w:t>Pecuniary interests</w:t>
            </w:r>
            <w:r>
              <w:rPr>
                <w:noProof/>
                <w:webHidden/>
              </w:rPr>
              <w:tab/>
            </w:r>
            <w:r>
              <w:rPr>
                <w:noProof/>
                <w:webHidden/>
              </w:rPr>
              <w:fldChar w:fldCharType="begin"/>
            </w:r>
            <w:r>
              <w:rPr>
                <w:noProof/>
                <w:webHidden/>
              </w:rPr>
              <w:instrText xml:space="preserve"> PAGEREF _Toc210127787 \h </w:instrText>
            </w:r>
            <w:r>
              <w:rPr>
                <w:noProof/>
                <w:webHidden/>
              </w:rPr>
            </w:r>
            <w:r>
              <w:rPr>
                <w:noProof/>
                <w:webHidden/>
              </w:rPr>
              <w:fldChar w:fldCharType="separate"/>
            </w:r>
            <w:r w:rsidR="00F53DBE">
              <w:rPr>
                <w:noProof/>
                <w:webHidden/>
              </w:rPr>
              <w:t>1</w:t>
            </w:r>
            <w:r>
              <w:rPr>
                <w:noProof/>
                <w:webHidden/>
              </w:rPr>
              <w:fldChar w:fldCharType="end"/>
            </w:r>
          </w:hyperlink>
        </w:p>
        <w:p w14:paraId="532B7DDD" w14:textId="692DBE61" w:rsidR="003B66AD" w:rsidRDefault="003B66AD">
          <w:pPr>
            <w:pStyle w:val="TOC1"/>
            <w:rPr>
              <w:rFonts w:eastAsiaTheme="minorEastAsia"/>
              <w:noProof/>
              <w:sz w:val="24"/>
              <w:szCs w:val="24"/>
              <w:lang w:eastAsia="en-AU"/>
            </w:rPr>
          </w:pPr>
          <w:hyperlink w:anchor="_Toc210127788" w:history="1">
            <w:r w:rsidRPr="001C4385">
              <w:rPr>
                <w:rStyle w:val="Hyperlink"/>
                <w:noProof/>
              </w:rPr>
              <w:t>Shares held by senior officers</w:t>
            </w:r>
            <w:r>
              <w:rPr>
                <w:noProof/>
                <w:webHidden/>
              </w:rPr>
              <w:tab/>
            </w:r>
            <w:r>
              <w:rPr>
                <w:noProof/>
                <w:webHidden/>
              </w:rPr>
              <w:fldChar w:fldCharType="begin"/>
            </w:r>
            <w:r>
              <w:rPr>
                <w:noProof/>
                <w:webHidden/>
              </w:rPr>
              <w:instrText xml:space="preserve"> PAGEREF _Toc210127788 \h </w:instrText>
            </w:r>
            <w:r>
              <w:rPr>
                <w:noProof/>
                <w:webHidden/>
              </w:rPr>
            </w:r>
            <w:r>
              <w:rPr>
                <w:noProof/>
                <w:webHidden/>
              </w:rPr>
              <w:fldChar w:fldCharType="separate"/>
            </w:r>
            <w:r w:rsidR="00F53DBE">
              <w:rPr>
                <w:noProof/>
                <w:webHidden/>
              </w:rPr>
              <w:t>1</w:t>
            </w:r>
            <w:r>
              <w:rPr>
                <w:noProof/>
                <w:webHidden/>
              </w:rPr>
              <w:fldChar w:fldCharType="end"/>
            </w:r>
          </w:hyperlink>
        </w:p>
        <w:p w14:paraId="46885B6E" w14:textId="267F5568" w:rsidR="003B66AD" w:rsidRDefault="003B66AD">
          <w:pPr>
            <w:pStyle w:val="TOC1"/>
            <w:rPr>
              <w:rFonts w:eastAsiaTheme="minorEastAsia"/>
              <w:noProof/>
              <w:sz w:val="24"/>
              <w:szCs w:val="24"/>
              <w:lang w:eastAsia="en-AU"/>
            </w:rPr>
          </w:pPr>
          <w:hyperlink w:anchor="_Toc210127789" w:history="1">
            <w:r w:rsidRPr="001C4385">
              <w:rPr>
                <w:rStyle w:val="Hyperlink"/>
                <w:noProof/>
              </w:rPr>
              <w:t>Publications</w:t>
            </w:r>
            <w:r>
              <w:rPr>
                <w:noProof/>
                <w:webHidden/>
              </w:rPr>
              <w:tab/>
            </w:r>
            <w:r>
              <w:rPr>
                <w:noProof/>
                <w:webHidden/>
              </w:rPr>
              <w:fldChar w:fldCharType="begin"/>
            </w:r>
            <w:r>
              <w:rPr>
                <w:noProof/>
                <w:webHidden/>
              </w:rPr>
              <w:instrText xml:space="preserve"> PAGEREF _Toc210127789 \h </w:instrText>
            </w:r>
            <w:r>
              <w:rPr>
                <w:noProof/>
                <w:webHidden/>
              </w:rPr>
            </w:r>
            <w:r>
              <w:rPr>
                <w:noProof/>
                <w:webHidden/>
              </w:rPr>
              <w:fldChar w:fldCharType="separate"/>
            </w:r>
            <w:r w:rsidR="00F53DBE">
              <w:rPr>
                <w:noProof/>
                <w:webHidden/>
              </w:rPr>
              <w:t>2</w:t>
            </w:r>
            <w:r>
              <w:rPr>
                <w:noProof/>
                <w:webHidden/>
              </w:rPr>
              <w:fldChar w:fldCharType="end"/>
            </w:r>
          </w:hyperlink>
        </w:p>
        <w:p w14:paraId="7828641F" w14:textId="50243E2C" w:rsidR="003B66AD" w:rsidRDefault="003B66AD">
          <w:pPr>
            <w:pStyle w:val="TOC1"/>
            <w:rPr>
              <w:rFonts w:eastAsiaTheme="minorEastAsia"/>
              <w:noProof/>
              <w:sz w:val="24"/>
              <w:szCs w:val="24"/>
              <w:lang w:eastAsia="en-AU"/>
            </w:rPr>
          </w:pPr>
          <w:hyperlink w:anchor="_Toc210127790" w:history="1">
            <w:r w:rsidRPr="001C4385">
              <w:rPr>
                <w:rStyle w:val="Hyperlink"/>
                <w:noProof/>
              </w:rPr>
              <w:t>Changes to prices, fees, charges, rates and levies</w:t>
            </w:r>
            <w:r>
              <w:rPr>
                <w:noProof/>
                <w:webHidden/>
              </w:rPr>
              <w:tab/>
            </w:r>
            <w:r>
              <w:rPr>
                <w:noProof/>
                <w:webHidden/>
              </w:rPr>
              <w:fldChar w:fldCharType="begin"/>
            </w:r>
            <w:r>
              <w:rPr>
                <w:noProof/>
                <w:webHidden/>
              </w:rPr>
              <w:instrText xml:space="preserve"> PAGEREF _Toc210127790 \h </w:instrText>
            </w:r>
            <w:r>
              <w:rPr>
                <w:noProof/>
                <w:webHidden/>
              </w:rPr>
            </w:r>
            <w:r>
              <w:rPr>
                <w:noProof/>
                <w:webHidden/>
              </w:rPr>
              <w:fldChar w:fldCharType="separate"/>
            </w:r>
            <w:r w:rsidR="00F53DBE">
              <w:rPr>
                <w:noProof/>
                <w:webHidden/>
              </w:rPr>
              <w:t>2</w:t>
            </w:r>
            <w:r>
              <w:rPr>
                <w:noProof/>
                <w:webHidden/>
              </w:rPr>
              <w:fldChar w:fldCharType="end"/>
            </w:r>
          </w:hyperlink>
        </w:p>
        <w:p w14:paraId="4095FF4F" w14:textId="434036B4" w:rsidR="003B66AD" w:rsidRDefault="003B66AD">
          <w:pPr>
            <w:pStyle w:val="TOC1"/>
            <w:rPr>
              <w:rFonts w:eastAsiaTheme="minorEastAsia"/>
              <w:noProof/>
              <w:sz w:val="24"/>
              <w:szCs w:val="24"/>
              <w:lang w:eastAsia="en-AU"/>
            </w:rPr>
          </w:pPr>
          <w:hyperlink w:anchor="_Toc210127791" w:history="1">
            <w:r w:rsidRPr="001C4385">
              <w:rPr>
                <w:rStyle w:val="Hyperlink"/>
                <w:noProof/>
              </w:rPr>
              <w:t>Major external reviews</w:t>
            </w:r>
            <w:r>
              <w:rPr>
                <w:noProof/>
                <w:webHidden/>
              </w:rPr>
              <w:tab/>
            </w:r>
            <w:r>
              <w:rPr>
                <w:noProof/>
                <w:webHidden/>
              </w:rPr>
              <w:fldChar w:fldCharType="begin"/>
            </w:r>
            <w:r>
              <w:rPr>
                <w:noProof/>
                <w:webHidden/>
              </w:rPr>
              <w:instrText xml:space="preserve"> PAGEREF _Toc210127791 \h </w:instrText>
            </w:r>
            <w:r>
              <w:rPr>
                <w:noProof/>
                <w:webHidden/>
              </w:rPr>
            </w:r>
            <w:r>
              <w:rPr>
                <w:noProof/>
                <w:webHidden/>
              </w:rPr>
              <w:fldChar w:fldCharType="separate"/>
            </w:r>
            <w:r w:rsidR="00F53DBE">
              <w:rPr>
                <w:noProof/>
                <w:webHidden/>
              </w:rPr>
              <w:t>2</w:t>
            </w:r>
            <w:r>
              <w:rPr>
                <w:noProof/>
                <w:webHidden/>
              </w:rPr>
              <w:fldChar w:fldCharType="end"/>
            </w:r>
          </w:hyperlink>
        </w:p>
        <w:p w14:paraId="557051E4" w14:textId="63B158E0" w:rsidR="003B66AD" w:rsidRDefault="003B66AD">
          <w:pPr>
            <w:pStyle w:val="TOC1"/>
            <w:rPr>
              <w:rFonts w:eastAsiaTheme="minorEastAsia"/>
              <w:noProof/>
              <w:sz w:val="24"/>
              <w:szCs w:val="24"/>
              <w:lang w:eastAsia="en-AU"/>
            </w:rPr>
          </w:pPr>
          <w:hyperlink w:anchor="_Toc210127792" w:history="1">
            <w:r w:rsidRPr="001C4385">
              <w:rPr>
                <w:rStyle w:val="Hyperlink"/>
                <w:noProof/>
              </w:rPr>
              <w:t>Major research and development</w:t>
            </w:r>
            <w:r>
              <w:rPr>
                <w:noProof/>
                <w:webHidden/>
              </w:rPr>
              <w:tab/>
            </w:r>
            <w:r>
              <w:rPr>
                <w:noProof/>
                <w:webHidden/>
              </w:rPr>
              <w:fldChar w:fldCharType="begin"/>
            </w:r>
            <w:r>
              <w:rPr>
                <w:noProof/>
                <w:webHidden/>
              </w:rPr>
              <w:instrText xml:space="preserve"> PAGEREF _Toc210127792 \h </w:instrText>
            </w:r>
            <w:r>
              <w:rPr>
                <w:noProof/>
                <w:webHidden/>
              </w:rPr>
            </w:r>
            <w:r>
              <w:rPr>
                <w:noProof/>
                <w:webHidden/>
              </w:rPr>
              <w:fldChar w:fldCharType="separate"/>
            </w:r>
            <w:r w:rsidR="00F53DBE">
              <w:rPr>
                <w:noProof/>
                <w:webHidden/>
              </w:rPr>
              <w:t>2</w:t>
            </w:r>
            <w:r>
              <w:rPr>
                <w:noProof/>
                <w:webHidden/>
              </w:rPr>
              <w:fldChar w:fldCharType="end"/>
            </w:r>
          </w:hyperlink>
        </w:p>
        <w:p w14:paraId="510269A6" w14:textId="3F205794" w:rsidR="003B66AD" w:rsidRDefault="003B66AD">
          <w:pPr>
            <w:pStyle w:val="TOC1"/>
            <w:rPr>
              <w:rFonts w:eastAsiaTheme="minorEastAsia"/>
              <w:noProof/>
              <w:sz w:val="24"/>
              <w:szCs w:val="24"/>
              <w:lang w:eastAsia="en-AU"/>
            </w:rPr>
          </w:pPr>
          <w:hyperlink w:anchor="_Toc210127793" w:history="1">
            <w:r w:rsidRPr="001C4385">
              <w:rPr>
                <w:rStyle w:val="Hyperlink"/>
                <w:noProof/>
              </w:rPr>
              <w:t>Overseas travel</w:t>
            </w:r>
            <w:r>
              <w:rPr>
                <w:noProof/>
                <w:webHidden/>
              </w:rPr>
              <w:tab/>
            </w:r>
            <w:r>
              <w:rPr>
                <w:noProof/>
                <w:webHidden/>
              </w:rPr>
              <w:fldChar w:fldCharType="begin"/>
            </w:r>
            <w:r>
              <w:rPr>
                <w:noProof/>
                <w:webHidden/>
              </w:rPr>
              <w:instrText xml:space="preserve"> PAGEREF _Toc210127793 \h </w:instrText>
            </w:r>
            <w:r>
              <w:rPr>
                <w:noProof/>
                <w:webHidden/>
              </w:rPr>
            </w:r>
            <w:r>
              <w:rPr>
                <w:noProof/>
                <w:webHidden/>
              </w:rPr>
              <w:fldChar w:fldCharType="separate"/>
            </w:r>
            <w:r w:rsidR="00F53DBE">
              <w:rPr>
                <w:noProof/>
                <w:webHidden/>
              </w:rPr>
              <w:t>3</w:t>
            </w:r>
            <w:r>
              <w:rPr>
                <w:noProof/>
                <w:webHidden/>
              </w:rPr>
              <w:fldChar w:fldCharType="end"/>
            </w:r>
          </w:hyperlink>
        </w:p>
        <w:p w14:paraId="649BECA1" w14:textId="02E02D7C" w:rsidR="003B66AD" w:rsidRDefault="003B66AD">
          <w:pPr>
            <w:pStyle w:val="TOC1"/>
            <w:rPr>
              <w:rFonts w:eastAsiaTheme="minorEastAsia"/>
              <w:noProof/>
              <w:sz w:val="24"/>
              <w:szCs w:val="24"/>
              <w:lang w:eastAsia="en-AU"/>
            </w:rPr>
          </w:pPr>
          <w:hyperlink w:anchor="_Toc210127794" w:history="1">
            <w:r w:rsidRPr="001C4385">
              <w:rPr>
                <w:rStyle w:val="Hyperlink"/>
                <w:noProof/>
              </w:rPr>
              <w:t>Major promotional, public relations and marketing activities</w:t>
            </w:r>
            <w:r>
              <w:rPr>
                <w:noProof/>
                <w:webHidden/>
              </w:rPr>
              <w:tab/>
            </w:r>
            <w:r>
              <w:rPr>
                <w:noProof/>
                <w:webHidden/>
              </w:rPr>
              <w:fldChar w:fldCharType="begin"/>
            </w:r>
            <w:r>
              <w:rPr>
                <w:noProof/>
                <w:webHidden/>
              </w:rPr>
              <w:instrText xml:space="preserve"> PAGEREF _Toc210127794 \h </w:instrText>
            </w:r>
            <w:r>
              <w:rPr>
                <w:noProof/>
                <w:webHidden/>
              </w:rPr>
            </w:r>
            <w:r>
              <w:rPr>
                <w:noProof/>
                <w:webHidden/>
              </w:rPr>
              <w:fldChar w:fldCharType="separate"/>
            </w:r>
            <w:r w:rsidR="00F53DBE">
              <w:rPr>
                <w:noProof/>
                <w:webHidden/>
              </w:rPr>
              <w:t>3</w:t>
            </w:r>
            <w:r>
              <w:rPr>
                <w:noProof/>
                <w:webHidden/>
              </w:rPr>
              <w:fldChar w:fldCharType="end"/>
            </w:r>
          </w:hyperlink>
        </w:p>
        <w:p w14:paraId="4CD1C8D6" w14:textId="71AC54DE" w:rsidR="003B66AD" w:rsidRDefault="003B66AD">
          <w:pPr>
            <w:pStyle w:val="TOC1"/>
            <w:rPr>
              <w:rFonts w:eastAsiaTheme="minorEastAsia"/>
              <w:noProof/>
              <w:sz w:val="24"/>
              <w:szCs w:val="24"/>
              <w:lang w:eastAsia="en-AU"/>
            </w:rPr>
          </w:pPr>
          <w:hyperlink w:anchor="_Toc210127795" w:history="1">
            <w:r w:rsidRPr="001C4385">
              <w:rPr>
                <w:rStyle w:val="Hyperlink"/>
                <w:noProof/>
              </w:rPr>
              <w:t>Occupational health and safety</w:t>
            </w:r>
            <w:r>
              <w:rPr>
                <w:noProof/>
                <w:webHidden/>
              </w:rPr>
              <w:tab/>
            </w:r>
            <w:r>
              <w:rPr>
                <w:noProof/>
                <w:webHidden/>
              </w:rPr>
              <w:fldChar w:fldCharType="begin"/>
            </w:r>
            <w:r>
              <w:rPr>
                <w:noProof/>
                <w:webHidden/>
              </w:rPr>
              <w:instrText xml:space="preserve"> PAGEREF _Toc210127795 \h </w:instrText>
            </w:r>
            <w:r>
              <w:rPr>
                <w:noProof/>
                <w:webHidden/>
              </w:rPr>
            </w:r>
            <w:r>
              <w:rPr>
                <w:noProof/>
                <w:webHidden/>
              </w:rPr>
              <w:fldChar w:fldCharType="separate"/>
            </w:r>
            <w:r w:rsidR="00F53DBE">
              <w:rPr>
                <w:noProof/>
                <w:webHidden/>
              </w:rPr>
              <w:t>3</w:t>
            </w:r>
            <w:r>
              <w:rPr>
                <w:noProof/>
                <w:webHidden/>
              </w:rPr>
              <w:fldChar w:fldCharType="end"/>
            </w:r>
          </w:hyperlink>
        </w:p>
        <w:p w14:paraId="2712863F" w14:textId="7CDC822B" w:rsidR="003B66AD" w:rsidRDefault="003B66AD">
          <w:pPr>
            <w:pStyle w:val="TOC1"/>
            <w:rPr>
              <w:rFonts w:eastAsiaTheme="minorEastAsia"/>
              <w:noProof/>
              <w:sz w:val="24"/>
              <w:szCs w:val="24"/>
              <w:lang w:eastAsia="en-AU"/>
            </w:rPr>
          </w:pPr>
          <w:hyperlink w:anchor="_Toc210127796" w:history="1">
            <w:r w:rsidRPr="001C4385">
              <w:rPr>
                <w:rStyle w:val="Hyperlink"/>
                <w:noProof/>
              </w:rPr>
              <w:t>Industrial relations</w:t>
            </w:r>
            <w:r>
              <w:rPr>
                <w:noProof/>
                <w:webHidden/>
              </w:rPr>
              <w:tab/>
            </w:r>
            <w:r>
              <w:rPr>
                <w:noProof/>
                <w:webHidden/>
              </w:rPr>
              <w:fldChar w:fldCharType="begin"/>
            </w:r>
            <w:r>
              <w:rPr>
                <w:noProof/>
                <w:webHidden/>
              </w:rPr>
              <w:instrText xml:space="preserve"> PAGEREF _Toc210127796 \h </w:instrText>
            </w:r>
            <w:r>
              <w:rPr>
                <w:noProof/>
                <w:webHidden/>
              </w:rPr>
            </w:r>
            <w:r>
              <w:rPr>
                <w:noProof/>
                <w:webHidden/>
              </w:rPr>
              <w:fldChar w:fldCharType="separate"/>
            </w:r>
            <w:r w:rsidR="00F53DBE">
              <w:rPr>
                <w:noProof/>
                <w:webHidden/>
              </w:rPr>
              <w:t>3</w:t>
            </w:r>
            <w:r>
              <w:rPr>
                <w:noProof/>
                <w:webHidden/>
              </w:rPr>
              <w:fldChar w:fldCharType="end"/>
            </w:r>
          </w:hyperlink>
        </w:p>
        <w:p w14:paraId="0CB4E3D3" w14:textId="23F3F3DF" w:rsidR="003B66AD" w:rsidRDefault="003B66AD">
          <w:pPr>
            <w:pStyle w:val="TOC1"/>
            <w:rPr>
              <w:rFonts w:eastAsiaTheme="minorEastAsia"/>
              <w:noProof/>
              <w:sz w:val="24"/>
              <w:szCs w:val="24"/>
              <w:lang w:eastAsia="en-AU"/>
            </w:rPr>
          </w:pPr>
          <w:hyperlink w:anchor="_Toc210127797" w:history="1">
            <w:r w:rsidRPr="001C4385">
              <w:rPr>
                <w:rStyle w:val="Hyperlink"/>
                <w:noProof/>
              </w:rPr>
              <w:t>Major committees</w:t>
            </w:r>
            <w:r>
              <w:rPr>
                <w:noProof/>
                <w:webHidden/>
              </w:rPr>
              <w:tab/>
            </w:r>
            <w:r>
              <w:rPr>
                <w:noProof/>
                <w:webHidden/>
              </w:rPr>
              <w:fldChar w:fldCharType="begin"/>
            </w:r>
            <w:r>
              <w:rPr>
                <w:noProof/>
                <w:webHidden/>
              </w:rPr>
              <w:instrText xml:space="preserve"> PAGEREF _Toc210127797 \h </w:instrText>
            </w:r>
            <w:r>
              <w:rPr>
                <w:noProof/>
                <w:webHidden/>
              </w:rPr>
            </w:r>
            <w:r>
              <w:rPr>
                <w:noProof/>
                <w:webHidden/>
              </w:rPr>
              <w:fldChar w:fldCharType="separate"/>
            </w:r>
            <w:r w:rsidR="00F53DBE">
              <w:rPr>
                <w:noProof/>
                <w:webHidden/>
              </w:rPr>
              <w:t>3</w:t>
            </w:r>
            <w:r>
              <w:rPr>
                <w:noProof/>
                <w:webHidden/>
              </w:rPr>
              <w:fldChar w:fldCharType="end"/>
            </w:r>
          </w:hyperlink>
        </w:p>
        <w:p w14:paraId="1294CD54" w14:textId="77EE7F6E" w:rsidR="003B66AD" w:rsidRDefault="003B66AD">
          <w:pPr>
            <w:pStyle w:val="TOC1"/>
            <w:rPr>
              <w:rFonts w:eastAsiaTheme="minorEastAsia"/>
              <w:noProof/>
              <w:sz w:val="24"/>
              <w:szCs w:val="24"/>
              <w:lang w:eastAsia="en-AU"/>
            </w:rPr>
          </w:pPr>
          <w:hyperlink w:anchor="_Toc210127798" w:history="1">
            <w:r w:rsidRPr="001C4385">
              <w:rPr>
                <w:rStyle w:val="Hyperlink"/>
                <w:noProof/>
              </w:rPr>
              <w:t>Consultancies and contractors</w:t>
            </w:r>
            <w:r>
              <w:rPr>
                <w:noProof/>
                <w:webHidden/>
              </w:rPr>
              <w:tab/>
            </w:r>
            <w:r>
              <w:rPr>
                <w:noProof/>
                <w:webHidden/>
              </w:rPr>
              <w:fldChar w:fldCharType="begin"/>
            </w:r>
            <w:r>
              <w:rPr>
                <w:noProof/>
                <w:webHidden/>
              </w:rPr>
              <w:instrText xml:space="preserve"> PAGEREF _Toc210127798 \h </w:instrText>
            </w:r>
            <w:r>
              <w:rPr>
                <w:noProof/>
                <w:webHidden/>
              </w:rPr>
            </w:r>
            <w:r>
              <w:rPr>
                <w:noProof/>
                <w:webHidden/>
              </w:rPr>
              <w:fldChar w:fldCharType="separate"/>
            </w:r>
            <w:r w:rsidR="00F53DBE">
              <w:rPr>
                <w:noProof/>
                <w:webHidden/>
              </w:rPr>
              <w:t>3</w:t>
            </w:r>
            <w:r>
              <w:rPr>
                <w:noProof/>
                <w:webHidden/>
              </w:rPr>
              <w:fldChar w:fldCharType="end"/>
            </w:r>
          </w:hyperlink>
        </w:p>
        <w:p w14:paraId="6E73377B" w14:textId="7195C16A" w:rsidR="008E6EF8" w:rsidRDefault="00D01A8B" w:rsidP="00D01A8B">
          <w:pPr>
            <w:pStyle w:val="TOC1"/>
          </w:pPr>
          <w:r>
            <w:rPr>
              <w:lang w:val="en-GB"/>
            </w:rPr>
            <w:fldChar w:fldCharType="end"/>
          </w:r>
        </w:p>
      </w:sdtContent>
    </w:sdt>
    <w:p w14:paraId="02655AFC" w14:textId="77777777" w:rsidR="00FD1DD2" w:rsidRDefault="00FD1DD2" w:rsidP="00B07F85">
      <w:pPr>
        <w:sectPr w:rsidR="00FD1DD2" w:rsidSect="00E9584B">
          <w:footerReference w:type="default" r:id="rId18"/>
          <w:pgSz w:w="11906" w:h="16838"/>
          <w:pgMar w:top="1701" w:right="1701" w:bottom="1134" w:left="1701" w:header="680" w:footer="680" w:gutter="0"/>
          <w:pgNumType w:start="1"/>
          <w:cols w:space="708"/>
          <w:docGrid w:linePitch="360"/>
        </w:sectPr>
      </w:pPr>
    </w:p>
    <w:p w14:paraId="721934C5" w14:textId="77777777" w:rsidR="00B3353C" w:rsidRDefault="00B3353C" w:rsidP="00B3353C">
      <w:pPr>
        <w:pStyle w:val="Head2"/>
      </w:pPr>
      <w:bookmarkStart w:id="1" w:name="_Toc210127786"/>
      <w:r>
        <w:lastRenderedPageBreak/>
        <w:t>Reporting requirements</w:t>
      </w:r>
      <w:bookmarkEnd w:id="1"/>
    </w:p>
    <w:p w14:paraId="1074C04A" w14:textId="6EDB675C" w:rsidR="00C508BC" w:rsidRPr="00511FB4" w:rsidRDefault="00C508BC" w:rsidP="00501EE4">
      <w:pPr>
        <w:pStyle w:val="AnnualReportBodyText"/>
      </w:pPr>
      <w:r w:rsidRPr="00511FB4">
        <w:t xml:space="preserve">Financial Reporting Direction 22H requires details of certain items, listed below, to be retained by the Accountable Officer and made available on request subject to the provisions of the </w:t>
      </w:r>
      <w:r w:rsidRPr="009464D0">
        <w:rPr>
          <w:i/>
        </w:rPr>
        <w:t>Freedom of Information Act 1982</w:t>
      </w:r>
      <w:r w:rsidRPr="00511FB4">
        <w:t>.</w:t>
      </w:r>
    </w:p>
    <w:p w14:paraId="6A018FAD" w14:textId="77777777" w:rsidR="00C508BC" w:rsidRPr="00501EE4" w:rsidRDefault="00C508BC" w:rsidP="00325AF1">
      <w:pPr>
        <w:pStyle w:val="BulletLevel1"/>
      </w:pPr>
      <w:r w:rsidRPr="00501EE4">
        <w:t>A statement that declarations of pecuniary interests have been duly completed by all relevant officers.</w:t>
      </w:r>
    </w:p>
    <w:p w14:paraId="58F1D3E9" w14:textId="77777777" w:rsidR="00C508BC" w:rsidRPr="00501EE4" w:rsidRDefault="00C508BC" w:rsidP="00325AF1">
      <w:pPr>
        <w:pStyle w:val="BulletLevel1"/>
      </w:pPr>
      <w:r w:rsidRPr="00501EE4">
        <w:t>Details of shares held by a senior officer as nominee or held beneficially in a statutory authority or subsidiary.</w:t>
      </w:r>
    </w:p>
    <w:p w14:paraId="505B7958" w14:textId="77777777" w:rsidR="00C508BC" w:rsidRPr="00501EE4" w:rsidRDefault="00C508BC" w:rsidP="00325AF1">
      <w:pPr>
        <w:pStyle w:val="BulletLevel1"/>
      </w:pPr>
      <w:r w:rsidRPr="00501EE4">
        <w:t>Details of publications produced by the entity about the entity, and how these can be obtained.</w:t>
      </w:r>
    </w:p>
    <w:p w14:paraId="604B0DCB" w14:textId="77777777" w:rsidR="00C508BC" w:rsidRPr="00501EE4" w:rsidRDefault="00C508BC" w:rsidP="00325AF1">
      <w:pPr>
        <w:pStyle w:val="BulletLevel1"/>
      </w:pPr>
      <w:r w:rsidRPr="00501EE4">
        <w:t>Details of changes in prices, fees, charges, rates and levies charged by the entity.</w:t>
      </w:r>
    </w:p>
    <w:p w14:paraId="3A5D0302" w14:textId="77777777" w:rsidR="00C508BC" w:rsidRPr="00501EE4" w:rsidRDefault="00C508BC" w:rsidP="00325AF1">
      <w:pPr>
        <w:pStyle w:val="BulletLevel1"/>
      </w:pPr>
      <w:r w:rsidRPr="00501EE4">
        <w:t>Details of any major external reviews carried out on the entity.</w:t>
      </w:r>
    </w:p>
    <w:p w14:paraId="1D492A89" w14:textId="77777777" w:rsidR="00C508BC" w:rsidRPr="00501EE4" w:rsidRDefault="00C508BC" w:rsidP="00325AF1">
      <w:pPr>
        <w:pStyle w:val="BulletLevel1"/>
      </w:pPr>
      <w:r w:rsidRPr="00501EE4">
        <w:t>Details of major research and development activities undertaken by the entity.</w:t>
      </w:r>
    </w:p>
    <w:p w14:paraId="1AF19633" w14:textId="77777777" w:rsidR="00C508BC" w:rsidRPr="00501EE4" w:rsidRDefault="00C508BC" w:rsidP="00325AF1">
      <w:pPr>
        <w:pStyle w:val="BulletLevel1"/>
      </w:pPr>
      <w:r w:rsidRPr="00501EE4">
        <w:t>Details of overseas visits undertaken including a summary of the objectives and outcomes of each visit.</w:t>
      </w:r>
    </w:p>
    <w:p w14:paraId="411BE07E" w14:textId="77777777" w:rsidR="00C508BC" w:rsidRPr="00501EE4" w:rsidRDefault="00C508BC" w:rsidP="00325AF1">
      <w:pPr>
        <w:pStyle w:val="BulletLevel1"/>
      </w:pPr>
      <w:r w:rsidRPr="00501EE4">
        <w:t>Details of major promotional, public relations and marketing activities undertaken by the entity to develop community awareness of the entity and its services.</w:t>
      </w:r>
    </w:p>
    <w:p w14:paraId="658023ED" w14:textId="77777777" w:rsidR="00C508BC" w:rsidRPr="00501EE4" w:rsidRDefault="00C508BC" w:rsidP="00325AF1">
      <w:pPr>
        <w:pStyle w:val="BulletLevel1"/>
      </w:pPr>
      <w:r w:rsidRPr="00501EE4">
        <w:t>Details of assessments and measures undertaken to improve the occupational health and safety of employees.</w:t>
      </w:r>
    </w:p>
    <w:p w14:paraId="7FEF3959" w14:textId="77777777" w:rsidR="00C508BC" w:rsidRPr="00501EE4" w:rsidRDefault="00C508BC" w:rsidP="00325AF1">
      <w:pPr>
        <w:pStyle w:val="BulletLevel1"/>
      </w:pPr>
      <w:r w:rsidRPr="00501EE4">
        <w:t>A general statement on industrial relations within the entity and details of time lost through industrial accidents or disputes.</w:t>
      </w:r>
    </w:p>
    <w:p w14:paraId="17780E03" w14:textId="77777777" w:rsidR="00C508BC" w:rsidRPr="00501EE4" w:rsidRDefault="00C508BC" w:rsidP="00325AF1">
      <w:pPr>
        <w:pStyle w:val="BulletLevel1"/>
      </w:pPr>
      <w:r w:rsidRPr="00501EE4">
        <w:t>A list of major committees sponsored by the entity, the purposes of each committee and the extent to which the purposes have been achieved.</w:t>
      </w:r>
    </w:p>
    <w:p w14:paraId="73BE342C" w14:textId="77777777" w:rsidR="00C508BC" w:rsidRPr="009464D0" w:rsidRDefault="00C508BC" w:rsidP="00325AF1">
      <w:pPr>
        <w:pStyle w:val="BulletLevel1last"/>
      </w:pPr>
      <w:r w:rsidRPr="009464D0">
        <w:t>Details of all consultancies and contractors including consultants/contractors engaged; services provided; and expenditure committed for each engagement.</w:t>
      </w:r>
    </w:p>
    <w:p w14:paraId="62E466D5" w14:textId="0FF134A9" w:rsidR="00C508BC" w:rsidRDefault="00C508BC" w:rsidP="00325AF1">
      <w:pPr>
        <w:pStyle w:val="AnnualReportBodyText"/>
      </w:pPr>
      <w:r w:rsidRPr="009464D0">
        <w:t xml:space="preserve">Some of the above information </w:t>
      </w:r>
      <w:r>
        <w:t xml:space="preserve">is </w:t>
      </w:r>
      <w:r w:rsidRPr="009464D0">
        <w:t xml:space="preserve">reported in the </w:t>
      </w:r>
      <w:r w:rsidRPr="00896D2D">
        <w:rPr>
          <w:rStyle w:val="Italictext"/>
        </w:rPr>
        <w:t>Victorian Registration and Qualifications Authority Annual Report 202</w:t>
      </w:r>
      <w:r w:rsidR="00896D2D">
        <w:rPr>
          <w:rStyle w:val="Italictext"/>
        </w:rPr>
        <w:t>4</w:t>
      </w:r>
      <w:r w:rsidRPr="00896D2D">
        <w:rPr>
          <w:rStyle w:val="Italictext"/>
        </w:rPr>
        <w:t>–2</w:t>
      </w:r>
      <w:r w:rsidR="00896D2D">
        <w:rPr>
          <w:rStyle w:val="Italictext"/>
        </w:rPr>
        <w:t>5</w:t>
      </w:r>
      <w:r w:rsidRPr="009464D0">
        <w:t>. This statement refers to the VRQA Annual Report in such instances.</w:t>
      </w:r>
    </w:p>
    <w:p w14:paraId="27C4D722" w14:textId="7BA743EA" w:rsidR="00B82D9B" w:rsidRDefault="00B82D9B" w:rsidP="00DF45A9">
      <w:pPr>
        <w:pStyle w:val="Head2"/>
      </w:pPr>
      <w:bookmarkStart w:id="2" w:name="_Toc210127787"/>
      <w:r>
        <w:t>Pecuniary interests</w:t>
      </w:r>
      <w:bookmarkEnd w:id="2"/>
    </w:p>
    <w:p w14:paraId="2B82EBA8" w14:textId="77777777" w:rsidR="006423C4" w:rsidRPr="006423C4" w:rsidRDefault="006423C4" w:rsidP="006423C4">
      <w:pPr>
        <w:pStyle w:val="AnnualReportBodyText"/>
      </w:pPr>
      <w:r w:rsidRPr="006423C4">
        <w:t>Declarations of pecuniary interests have been duly completed by relevant officers.</w:t>
      </w:r>
    </w:p>
    <w:p w14:paraId="20865C74" w14:textId="6072B1F4" w:rsidR="006423C4" w:rsidRDefault="006423C4" w:rsidP="006423C4">
      <w:pPr>
        <w:pStyle w:val="Head2"/>
      </w:pPr>
      <w:bookmarkStart w:id="3" w:name="_Toc210127788"/>
      <w:r>
        <w:t>Shares held by senior officers</w:t>
      </w:r>
      <w:bookmarkEnd w:id="3"/>
    </w:p>
    <w:p w14:paraId="4E07427E" w14:textId="77777777" w:rsidR="00B07F85" w:rsidRPr="00532E86" w:rsidRDefault="00B07F85" w:rsidP="00B07F85">
      <w:pPr>
        <w:pStyle w:val="AnnualReportBodyText"/>
      </w:pPr>
      <w:r w:rsidRPr="00532E86">
        <w:t xml:space="preserve">No shares are </w:t>
      </w:r>
      <w:r w:rsidRPr="00AE35F4">
        <w:t>held by any senior</w:t>
      </w:r>
      <w:r w:rsidRPr="00532E86">
        <w:t xml:space="preserve"> officer as a nominee or held beneficially in a statutory authority or subsidiary.</w:t>
      </w:r>
    </w:p>
    <w:p w14:paraId="5C46B0B3" w14:textId="77777777" w:rsidR="00620C01" w:rsidRDefault="00620C01" w:rsidP="00864EB0">
      <w:pPr>
        <w:pStyle w:val="AnnualReportBodyText"/>
      </w:pPr>
      <w:r>
        <w:br w:type="page"/>
      </w:r>
    </w:p>
    <w:p w14:paraId="3EBE0BE1" w14:textId="77E9B80D" w:rsidR="007C5E3D" w:rsidRDefault="004C7CE3" w:rsidP="004C7CE3">
      <w:pPr>
        <w:pStyle w:val="Head2"/>
      </w:pPr>
      <w:bookmarkStart w:id="4" w:name="_Toc210127789"/>
      <w:r>
        <w:lastRenderedPageBreak/>
        <w:t>Publications</w:t>
      </w:r>
      <w:bookmarkEnd w:id="4"/>
    </w:p>
    <w:p w14:paraId="30476B0D" w14:textId="429112E7" w:rsidR="004C7CE3" w:rsidRPr="004C7CE3" w:rsidRDefault="004C7CE3" w:rsidP="004C7CE3">
      <w:pPr>
        <w:pStyle w:val="AnnualReportBodyText"/>
      </w:pPr>
      <w:r>
        <w:t>Details of publications produced by the VRQA and how these can be obtained are shown in Table 1.</w:t>
      </w:r>
    </w:p>
    <w:p w14:paraId="183375FD" w14:textId="4010E222" w:rsidR="00DB2535" w:rsidRDefault="00DB2535" w:rsidP="000520C1">
      <w:pPr>
        <w:pStyle w:val="Tablecaption"/>
      </w:pPr>
      <w:r>
        <w:t xml:space="preserve">Table </w:t>
      </w:r>
      <w:r w:rsidR="004C7CE3">
        <w:t>1</w:t>
      </w:r>
      <w:r w:rsidR="00311D52">
        <w:t xml:space="preserve"> – </w:t>
      </w:r>
      <w:r w:rsidR="004C7CE3">
        <w:t>Publications produced by the VRQA</w:t>
      </w:r>
    </w:p>
    <w:tbl>
      <w:tblPr>
        <w:tblStyle w:val="Annualreporttableborders"/>
        <w:tblW w:w="0" w:type="auto"/>
        <w:tblLook w:val="04A0" w:firstRow="1" w:lastRow="0" w:firstColumn="1" w:lastColumn="0" w:noHBand="0" w:noVBand="1"/>
      </w:tblPr>
      <w:tblGrid>
        <w:gridCol w:w="3114"/>
        <w:gridCol w:w="2174"/>
        <w:gridCol w:w="2645"/>
      </w:tblGrid>
      <w:tr w:rsidR="00431823" w14:paraId="2365B1AB" w14:textId="77777777" w:rsidTr="00E16C3C">
        <w:trPr>
          <w:cnfStyle w:val="100000000000" w:firstRow="1" w:lastRow="0" w:firstColumn="0" w:lastColumn="0" w:oddVBand="0" w:evenVBand="0" w:oddHBand="0" w:evenHBand="0" w:firstRowFirstColumn="0" w:firstRowLastColumn="0" w:lastRowFirstColumn="0" w:lastRowLastColumn="0"/>
        </w:trPr>
        <w:tc>
          <w:tcPr>
            <w:tcW w:w="3114" w:type="dxa"/>
          </w:tcPr>
          <w:p w14:paraId="7F96AF62" w14:textId="7DE7268A" w:rsidR="00431823" w:rsidRPr="008E3E8F" w:rsidRDefault="00431823" w:rsidP="008E3E8F">
            <w:pPr>
              <w:pStyle w:val="Tablehead"/>
            </w:pPr>
            <w:r>
              <w:t>Publication</w:t>
            </w:r>
          </w:p>
        </w:tc>
        <w:tc>
          <w:tcPr>
            <w:tcW w:w="2174" w:type="dxa"/>
          </w:tcPr>
          <w:p w14:paraId="52D32E0C" w14:textId="21BF2E4D" w:rsidR="00431823" w:rsidRPr="008E3E8F" w:rsidRDefault="00431823" w:rsidP="008E3E8F">
            <w:pPr>
              <w:pStyle w:val="Tablehead"/>
            </w:pPr>
            <w:r>
              <w:t>Produced</w:t>
            </w:r>
          </w:p>
        </w:tc>
        <w:tc>
          <w:tcPr>
            <w:tcW w:w="2645" w:type="dxa"/>
          </w:tcPr>
          <w:p w14:paraId="26B5B176" w14:textId="57A0DA1E" w:rsidR="00431823" w:rsidRPr="008E3E8F" w:rsidRDefault="00431823" w:rsidP="008E3E8F">
            <w:pPr>
              <w:pStyle w:val="Tablehead"/>
            </w:pPr>
            <w:r>
              <w:t>Link</w:t>
            </w:r>
          </w:p>
        </w:tc>
      </w:tr>
      <w:tr w:rsidR="00431823" w14:paraId="5F73ECA0" w14:textId="77777777" w:rsidTr="00E16C3C">
        <w:tc>
          <w:tcPr>
            <w:tcW w:w="3114" w:type="dxa"/>
          </w:tcPr>
          <w:p w14:paraId="0F5DB0A3" w14:textId="2A32A6A4" w:rsidR="00431823" w:rsidRDefault="00431823" w:rsidP="008E3E8F">
            <w:pPr>
              <w:pStyle w:val="Tabletext"/>
            </w:pPr>
            <w:r>
              <w:t>VRQA e-News</w:t>
            </w:r>
          </w:p>
        </w:tc>
        <w:tc>
          <w:tcPr>
            <w:tcW w:w="2174" w:type="dxa"/>
          </w:tcPr>
          <w:p w14:paraId="184E0395" w14:textId="644EC12B" w:rsidR="00431823" w:rsidRDefault="00A46A89" w:rsidP="00620C01">
            <w:pPr>
              <w:pStyle w:val="Tabletext"/>
            </w:pPr>
            <w:r>
              <w:t>July 2024</w:t>
            </w:r>
            <w:r w:rsidR="00652F62">
              <w:t xml:space="preserve"> – </w:t>
            </w:r>
            <w:r w:rsidR="00D20E57">
              <w:t>June 2025</w:t>
            </w:r>
          </w:p>
        </w:tc>
        <w:tc>
          <w:tcPr>
            <w:tcW w:w="2645" w:type="dxa"/>
          </w:tcPr>
          <w:p w14:paraId="19760393" w14:textId="7A95B5A4" w:rsidR="006B650B" w:rsidRDefault="00FC3340" w:rsidP="008E3E8F">
            <w:pPr>
              <w:pStyle w:val="Tabletext"/>
            </w:pPr>
            <w:hyperlink r:id="rId19" w:history="1">
              <w:r>
                <w:rPr>
                  <w:rStyle w:val="Hyperlink"/>
                </w:rPr>
                <w:t>www2.vrqa.vic.gov.au/vrqa-news</w:t>
              </w:r>
            </w:hyperlink>
          </w:p>
        </w:tc>
      </w:tr>
      <w:tr w:rsidR="00431823" w14:paraId="127E4E5D" w14:textId="77777777" w:rsidTr="00E16C3C">
        <w:tc>
          <w:tcPr>
            <w:tcW w:w="3114" w:type="dxa"/>
          </w:tcPr>
          <w:p w14:paraId="7D49A83D" w14:textId="6E49775F" w:rsidR="00431823" w:rsidRDefault="00621CB0" w:rsidP="008E3E8F">
            <w:pPr>
              <w:pStyle w:val="Tabletext"/>
            </w:pPr>
            <w:r>
              <w:t>VRQA Annual Report 2023</w:t>
            </w:r>
            <w:r w:rsidR="001923B7">
              <w:t>–</w:t>
            </w:r>
            <w:r>
              <w:t>24</w:t>
            </w:r>
          </w:p>
        </w:tc>
        <w:tc>
          <w:tcPr>
            <w:tcW w:w="2174" w:type="dxa"/>
          </w:tcPr>
          <w:p w14:paraId="0DC81E81" w14:textId="5CDA5947" w:rsidR="00431823" w:rsidRDefault="00621CB0" w:rsidP="008E3E8F">
            <w:pPr>
              <w:pStyle w:val="Tabletext"/>
            </w:pPr>
            <w:r>
              <w:t>October 202</w:t>
            </w:r>
            <w:r w:rsidR="004B5D52">
              <w:t>4</w:t>
            </w:r>
          </w:p>
        </w:tc>
        <w:tc>
          <w:tcPr>
            <w:tcW w:w="2645" w:type="dxa"/>
          </w:tcPr>
          <w:p w14:paraId="083FCBE9" w14:textId="5B63727B" w:rsidR="00D021FE" w:rsidRDefault="00FC3340" w:rsidP="008E3E8F">
            <w:pPr>
              <w:pStyle w:val="Tabletext"/>
            </w:pPr>
            <w:hyperlink r:id="rId20" w:anchor="annual-reports" w:history="1">
              <w:r>
                <w:rPr>
                  <w:rStyle w:val="Hyperlink"/>
                </w:rPr>
                <w:t>www2.vrqa.vic.gov.au/vrqa-annual-report#annual-reports</w:t>
              </w:r>
            </w:hyperlink>
          </w:p>
        </w:tc>
      </w:tr>
      <w:tr w:rsidR="004B5D52" w14:paraId="3CC1C71C" w14:textId="77777777" w:rsidTr="00E16C3C">
        <w:tc>
          <w:tcPr>
            <w:tcW w:w="3114" w:type="dxa"/>
          </w:tcPr>
          <w:p w14:paraId="5D877383" w14:textId="12C22F46" w:rsidR="004B5D52" w:rsidRDefault="004B5D52" w:rsidP="008E3E8F">
            <w:pPr>
              <w:pStyle w:val="Tabletext"/>
            </w:pPr>
            <w:r>
              <w:t>2024 Client and Stakeholder satisfaction Research Report</w:t>
            </w:r>
          </w:p>
        </w:tc>
        <w:tc>
          <w:tcPr>
            <w:tcW w:w="2174" w:type="dxa"/>
          </w:tcPr>
          <w:p w14:paraId="30675457" w14:textId="5837B486" w:rsidR="004B5D52" w:rsidRDefault="004B5D52" w:rsidP="008E3E8F">
            <w:pPr>
              <w:pStyle w:val="Tabletext"/>
            </w:pPr>
            <w:r>
              <w:t>February 2025</w:t>
            </w:r>
          </w:p>
        </w:tc>
        <w:tc>
          <w:tcPr>
            <w:tcW w:w="2645" w:type="dxa"/>
          </w:tcPr>
          <w:p w14:paraId="071B48BA" w14:textId="7FFBA5C9" w:rsidR="00D973FF" w:rsidRDefault="00FC3340" w:rsidP="008E3E8F">
            <w:pPr>
              <w:pStyle w:val="Tabletext"/>
            </w:pPr>
            <w:hyperlink r:id="rId21" w:anchor="client-and-stakeholder-research-reports" w:history="1">
              <w:r>
                <w:rPr>
                  <w:rStyle w:val="Hyperlink"/>
                </w:rPr>
                <w:t>www2.vrqa.vic.gov.au/vrqa-annual-report#client-and-stakeholder-research-reports</w:t>
              </w:r>
            </w:hyperlink>
          </w:p>
        </w:tc>
      </w:tr>
    </w:tbl>
    <w:p w14:paraId="0741A89B" w14:textId="42425026" w:rsidR="00671793" w:rsidRDefault="00620C01" w:rsidP="00620C01">
      <w:pPr>
        <w:pStyle w:val="Head2"/>
      </w:pPr>
      <w:bookmarkStart w:id="5" w:name="_Toc210127790"/>
      <w:r>
        <w:t>Changes to prices, fees, charges, rates and levies</w:t>
      </w:r>
      <w:bookmarkEnd w:id="5"/>
    </w:p>
    <w:p w14:paraId="49B8AC10" w14:textId="77777777" w:rsidR="00864EB0" w:rsidRPr="009464D0" w:rsidRDefault="00864EB0" w:rsidP="00864EB0">
      <w:pPr>
        <w:pStyle w:val="AnnualReportBodyText"/>
      </w:pPr>
      <w:r w:rsidRPr="009464D0">
        <w:t>VRQA fees and charges are set by ministerial order. These fees and charges cover:</w:t>
      </w:r>
    </w:p>
    <w:p w14:paraId="4CADBD00" w14:textId="77777777" w:rsidR="00864EB0" w:rsidRPr="00B52687" w:rsidRDefault="00864EB0" w:rsidP="00864EB0">
      <w:pPr>
        <w:pStyle w:val="BulletLevel1"/>
      </w:pPr>
      <w:r w:rsidRPr="00B52687">
        <w:t>schools</w:t>
      </w:r>
    </w:p>
    <w:p w14:paraId="40388503" w14:textId="77777777" w:rsidR="00864EB0" w:rsidRPr="00B52687" w:rsidRDefault="00864EB0" w:rsidP="00864EB0">
      <w:pPr>
        <w:pStyle w:val="BulletLevel1"/>
      </w:pPr>
      <w:r w:rsidRPr="00B52687">
        <w:t>senior secondary courses</w:t>
      </w:r>
    </w:p>
    <w:p w14:paraId="5353A007" w14:textId="77777777" w:rsidR="00864EB0" w:rsidRPr="00B52687" w:rsidRDefault="00864EB0" w:rsidP="00864EB0">
      <w:pPr>
        <w:pStyle w:val="BulletLevel1"/>
      </w:pPr>
      <w:r w:rsidRPr="00B52687">
        <w:t>senior secondary qualifications and accredited senior secondary courses</w:t>
      </w:r>
    </w:p>
    <w:p w14:paraId="4A2F0183" w14:textId="77777777" w:rsidR="00864EB0" w:rsidRPr="00B52687" w:rsidRDefault="00864EB0" w:rsidP="00864EB0">
      <w:pPr>
        <w:pStyle w:val="BulletLevel1"/>
      </w:pPr>
      <w:r w:rsidRPr="00B52687">
        <w:t>vocational education and training (VET)</w:t>
      </w:r>
    </w:p>
    <w:p w14:paraId="0859D7AF" w14:textId="77777777" w:rsidR="00864EB0" w:rsidRPr="00B52687" w:rsidRDefault="00864EB0" w:rsidP="00864EB0">
      <w:pPr>
        <w:pStyle w:val="BulletLevel1"/>
      </w:pPr>
      <w:r w:rsidRPr="00B52687">
        <w:t>accreditation of higher education courses</w:t>
      </w:r>
    </w:p>
    <w:p w14:paraId="79B406EC" w14:textId="77777777" w:rsidR="00864EB0" w:rsidRPr="00B52687" w:rsidRDefault="00864EB0" w:rsidP="00864EB0">
      <w:pPr>
        <w:pStyle w:val="BulletLevel1"/>
      </w:pPr>
      <w:r w:rsidRPr="00B52687">
        <w:t>overseas secondary student exchange organisations</w:t>
      </w:r>
    </w:p>
    <w:p w14:paraId="0A7A8E57" w14:textId="77777777" w:rsidR="00864EB0" w:rsidRPr="00B52687" w:rsidRDefault="00864EB0" w:rsidP="00864EB0">
      <w:pPr>
        <w:pStyle w:val="BulletLevel1"/>
      </w:pPr>
      <w:r w:rsidRPr="00B52687">
        <w:t>overseas students</w:t>
      </w:r>
    </w:p>
    <w:p w14:paraId="1AB343CC" w14:textId="77777777" w:rsidR="00864EB0" w:rsidRPr="009464D0" w:rsidRDefault="00864EB0" w:rsidP="00864EB0">
      <w:pPr>
        <w:pStyle w:val="BulletLevel1last"/>
      </w:pPr>
      <w:r w:rsidRPr="00B52687">
        <w:t>certificates issued to apprentices</w:t>
      </w:r>
      <w:r w:rsidRPr="009464D0">
        <w:t>.</w:t>
      </w:r>
    </w:p>
    <w:p w14:paraId="6A3CB8AE" w14:textId="77777777" w:rsidR="00864EB0" w:rsidRPr="00B041CB" w:rsidRDefault="00864EB0" w:rsidP="00864EB0">
      <w:pPr>
        <w:pStyle w:val="AnnualReportBodyText"/>
      </w:pPr>
      <w:r w:rsidRPr="00B041CB">
        <w:t>On 1 January 2013, Ministerial Order No. 615 came into effect, setting fees for 2013 and beyond. The setting of this order was subject to an extensive regulatory impact statement process.</w:t>
      </w:r>
    </w:p>
    <w:p w14:paraId="3685E7AB" w14:textId="77777777" w:rsidR="00864EB0" w:rsidRPr="00B041CB" w:rsidRDefault="00864EB0" w:rsidP="00864EB0">
      <w:pPr>
        <w:pStyle w:val="AnnualReportBodyText"/>
      </w:pPr>
      <w:r w:rsidRPr="00B041CB">
        <w:t>Fees are revised each year to reflect changes in the consumer price index, as specified in Ministerial Order No. 615.</w:t>
      </w:r>
    </w:p>
    <w:p w14:paraId="4A1559A5" w14:textId="2B508AE0" w:rsidR="00864EB0" w:rsidRDefault="00864EB0" w:rsidP="00864EB0">
      <w:pPr>
        <w:pStyle w:val="AnnualReportBodyText"/>
      </w:pPr>
      <w:r w:rsidRPr="00B041CB">
        <w:t xml:space="preserve">In December 2016, Ministerial Order No. 957 was made, </w:t>
      </w:r>
      <w:r>
        <w:t>fixing</w:t>
      </w:r>
      <w:r w:rsidRPr="00B041CB">
        <w:t xml:space="preserve"> VET fees for VRQA-registered RTOs at</w:t>
      </w:r>
      <w:r w:rsidR="00386EEE">
        <w:t> </w:t>
      </w:r>
      <w:r w:rsidRPr="00B041CB">
        <w:t xml:space="preserve">2014 levels. VET fees remain at those levels. </w:t>
      </w:r>
    </w:p>
    <w:p w14:paraId="301CF692" w14:textId="77777777" w:rsidR="00864EB0" w:rsidRPr="00511FB4" w:rsidRDefault="00864EB0" w:rsidP="00864EB0">
      <w:pPr>
        <w:pStyle w:val="AnnualReportBodyText"/>
      </w:pPr>
      <w:r w:rsidRPr="00B041CB">
        <w:t xml:space="preserve">Details of current prices, fees, charges, rates and levies charged by VRQA, and the regulatory impact statement process and outcomes, are outlined on the VRQA website at </w:t>
      </w:r>
      <w:hyperlink r:id="rId22" w:history="1">
        <w:r>
          <w:rPr>
            <w:rStyle w:val="Hyperlink"/>
          </w:rPr>
          <w:t>vrqa.vic.gov.au/fees</w:t>
        </w:r>
      </w:hyperlink>
      <w:r w:rsidRPr="00511FB4">
        <w:t>.</w:t>
      </w:r>
    </w:p>
    <w:p w14:paraId="50820B9D" w14:textId="4B12EB45" w:rsidR="00671793" w:rsidRDefault="00136DF2" w:rsidP="00136DF2">
      <w:pPr>
        <w:pStyle w:val="Head2"/>
      </w:pPr>
      <w:bookmarkStart w:id="6" w:name="_Toc210127791"/>
      <w:r>
        <w:t>Major external reviews</w:t>
      </w:r>
      <w:bookmarkEnd w:id="6"/>
    </w:p>
    <w:p w14:paraId="6C4BA513" w14:textId="53148488" w:rsidR="00BE2362" w:rsidRDefault="00BE2362" w:rsidP="00BE2362">
      <w:pPr>
        <w:pStyle w:val="AnnualReportBodyText"/>
      </w:pPr>
      <w:r>
        <w:t xml:space="preserve">Details of reviews are reported in the VRQA </w:t>
      </w:r>
      <w:r w:rsidR="009763BD">
        <w:t>A</w:t>
      </w:r>
      <w:r>
        <w:t>nnual Report under ‘Reviews and studies expenditure’.</w:t>
      </w:r>
    </w:p>
    <w:p w14:paraId="2F6E8276" w14:textId="007163D1" w:rsidR="00B96611" w:rsidRDefault="00B96611" w:rsidP="00B96611">
      <w:pPr>
        <w:pStyle w:val="Head2"/>
      </w:pPr>
      <w:bookmarkStart w:id="7" w:name="_Toc210127792"/>
      <w:r>
        <w:t>Major research and development</w:t>
      </w:r>
      <w:bookmarkEnd w:id="7"/>
    </w:p>
    <w:p w14:paraId="739AABF7" w14:textId="1E00FF4D" w:rsidR="00B96611" w:rsidRPr="00B96611" w:rsidRDefault="00B96611" w:rsidP="00B96611">
      <w:pPr>
        <w:pStyle w:val="AnnualReportBodyText"/>
      </w:pPr>
      <w:r>
        <w:t>There was no major research or development activity carried out by the VRQA during the 2024</w:t>
      </w:r>
      <w:r w:rsidR="00297ED7">
        <w:t>–</w:t>
      </w:r>
      <w:r w:rsidR="00092169">
        <w:t>25 financial year.</w:t>
      </w:r>
    </w:p>
    <w:p w14:paraId="541B9380" w14:textId="77777777" w:rsidR="00287337" w:rsidRPr="009E1F71" w:rsidRDefault="00287337">
      <w:r>
        <w:br w:type="page"/>
      </w:r>
    </w:p>
    <w:p w14:paraId="4A88A9ED" w14:textId="6F8172BC" w:rsidR="00671793" w:rsidRDefault="00287337" w:rsidP="00287337">
      <w:pPr>
        <w:pStyle w:val="Head2"/>
      </w:pPr>
      <w:bookmarkStart w:id="8" w:name="_Toc210127793"/>
      <w:r>
        <w:lastRenderedPageBreak/>
        <w:t>Overseas travel</w:t>
      </w:r>
      <w:bookmarkEnd w:id="8"/>
    </w:p>
    <w:p w14:paraId="283CEE3E" w14:textId="782F3901" w:rsidR="00287337" w:rsidRDefault="00287337" w:rsidP="00287337">
      <w:pPr>
        <w:pStyle w:val="AnnualReportBodyText"/>
      </w:pPr>
      <w:r>
        <w:t>There were no instances of a VRQA officer travelling overseas for work during the 2024–25</w:t>
      </w:r>
      <w:r w:rsidR="00437E83">
        <w:t xml:space="preserve"> financial year.</w:t>
      </w:r>
    </w:p>
    <w:p w14:paraId="21FB6F57" w14:textId="14A599D1" w:rsidR="00437E83" w:rsidRDefault="00437E83" w:rsidP="00437E83">
      <w:pPr>
        <w:pStyle w:val="Head2"/>
      </w:pPr>
      <w:bookmarkStart w:id="9" w:name="_Toc210127794"/>
      <w:r>
        <w:t>Major promotional, public relations and marketing activities</w:t>
      </w:r>
      <w:bookmarkEnd w:id="9"/>
    </w:p>
    <w:p w14:paraId="4CFAA06D" w14:textId="1A5B2A46" w:rsidR="00437E83" w:rsidRDefault="00713E2A" w:rsidP="006D7058">
      <w:pPr>
        <w:pStyle w:val="AnnualReportBodyText"/>
      </w:pPr>
      <w:r w:rsidRPr="006D7058">
        <w:t xml:space="preserve">There </w:t>
      </w:r>
      <w:r w:rsidR="0034520D">
        <w:t>were</w:t>
      </w:r>
      <w:r w:rsidRPr="006D7058">
        <w:t xml:space="preserve"> no major promotional, public relations or marketing activities undertaken by the VRQA in the 202</w:t>
      </w:r>
      <w:r w:rsidR="006D7058" w:rsidRPr="006D7058">
        <w:t>4–25 financial year.</w:t>
      </w:r>
    </w:p>
    <w:p w14:paraId="26B7490D" w14:textId="4070FE36" w:rsidR="009E1F71" w:rsidRDefault="009E1F71" w:rsidP="009E1F71">
      <w:pPr>
        <w:pStyle w:val="Head2"/>
      </w:pPr>
      <w:bookmarkStart w:id="10" w:name="_Toc210127795"/>
      <w:r>
        <w:t>Occupational health and safety</w:t>
      </w:r>
      <w:bookmarkEnd w:id="10"/>
    </w:p>
    <w:p w14:paraId="010B5620" w14:textId="22835E5A" w:rsidR="009E1F71" w:rsidRDefault="00C620EE" w:rsidP="009E1F71">
      <w:pPr>
        <w:pStyle w:val="AnnualReportBodyText"/>
      </w:pPr>
      <w:r>
        <w:t xml:space="preserve">Occupational health and safety </w:t>
      </w:r>
      <w:proofErr w:type="gramStart"/>
      <w:r>
        <w:t>is</w:t>
      </w:r>
      <w:proofErr w:type="gramEnd"/>
      <w:r>
        <w:t xml:space="preserve"> reported in the VRQA Annual Report.</w:t>
      </w:r>
    </w:p>
    <w:p w14:paraId="67C4899D" w14:textId="1127313E" w:rsidR="00C620EE" w:rsidRDefault="00C620EE" w:rsidP="00C620EE">
      <w:pPr>
        <w:pStyle w:val="Head2"/>
      </w:pPr>
      <w:bookmarkStart w:id="11" w:name="_Toc210127796"/>
      <w:r>
        <w:t>Industrial relations</w:t>
      </w:r>
      <w:bookmarkEnd w:id="11"/>
    </w:p>
    <w:p w14:paraId="0FD0B0BF" w14:textId="3897285C" w:rsidR="00C620EE" w:rsidRDefault="00511FB4" w:rsidP="00C620EE">
      <w:pPr>
        <w:pStyle w:val="AnnualReportBodyText"/>
      </w:pPr>
      <w:r>
        <w:t>Industrial relations are reported in the VRQA Annual Report under ‘Workforce Data’. No time was lost to</w:t>
      </w:r>
      <w:r w:rsidR="0034520D">
        <w:t> </w:t>
      </w:r>
      <w:r>
        <w:t>industrial relations action</w:t>
      </w:r>
      <w:r w:rsidR="00F572A4">
        <w:t xml:space="preserve"> in 2024–25.</w:t>
      </w:r>
    </w:p>
    <w:p w14:paraId="0169CDCE" w14:textId="3FCF4F08" w:rsidR="00F572A4" w:rsidRDefault="00DC2A8A" w:rsidP="00DC2A8A">
      <w:pPr>
        <w:pStyle w:val="Head2"/>
      </w:pPr>
      <w:bookmarkStart w:id="12" w:name="_Toc210127797"/>
      <w:r>
        <w:t>Major committees</w:t>
      </w:r>
      <w:bookmarkEnd w:id="12"/>
    </w:p>
    <w:p w14:paraId="02273F9E" w14:textId="071595F2" w:rsidR="00DC2A8A" w:rsidRDefault="00DC2A8A" w:rsidP="00DC2A8A">
      <w:pPr>
        <w:pStyle w:val="AnnualReportBodyText"/>
      </w:pPr>
      <w:r>
        <w:t>All committee activities are reported in the VRQA Annual Report.</w:t>
      </w:r>
    </w:p>
    <w:p w14:paraId="677BAC41" w14:textId="4A34EF5D" w:rsidR="00F35FC2" w:rsidRDefault="00F35FC2" w:rsidP="00F35FC2">
      <w:pPr>
        <w:pStyle w:val="Head2"/>
      </w:pPr>
      <w:bookmarkStart w:id="13" w:name="_Toc210127798"/>
      <w:r>
        <w:t>Consultancies and contractors</w:t>
      </w:r>
      <w:bookmarkEnd w:id="13"/>
    </w:p>
    <w:p w14:paraId="63A71E9C" w14:textId="02776FAD" w:rsidR="00F35FC2" w:rsidRPr="00F35FC2" w:rsidRDefault="00F35FC2" w:rsidP="00F35FC2">
      <w:pPr>
        <w:pStyle w:val="AnnualReportBodyText"/>
      </w:pPr>
      <w:r>
        <w:t>Consultancies and contractors are reporte</w:t>
      </w:r>
      <w:r w:rsidR="009B64D7">
        <w:t>d in the VRQA Annual Report.</w:t>
      </w:r>
    </w:p>
    <w:sectPr w:rsidR="00F35FC2" w:rsidRPr="00F35FC2" w:rsidSect="00E9584B">
      <w:footerReference w:type="default" r:id="rId23"/>
      <w:pgSz w:w="11906" w:h="16838"/>
      <w:pgMar w:top="1701" w:right="1701" w:bottom="1134" w:left="1701"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66A0" w14:textId="77777777" w:rsidR="001E5755" w:rsidRDefault="001E5755" w:rsidP="008D7B6B">
      <w:pPr>
        <w:spacing w:after="0" w:line="240" w:lineRule="auto"/>
      </w:pPr>
      <w:r>
        <w:separator/>
      </w:r>
    </w:p>
  </w:endnote>
  <w:endnote w:type="continuationSeparator" w:id="0">
    <w:p w14:paraId="40E25648" w14:textId="77777777" w:rsidR="001E5755" w:rsidRDefault="001E5755" w:rsidP="008D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C231" w14:textId="77777777" w:rsidR="008B6132" w:rsidRDefault="008B6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1FEC" w14:textId="0DD68398" w:rsidR="008D7B6B" w:rsidRPr="004A0CE6" w:rsidRDefault="008D7B6B" w:rsidP="004A0CE6">
    <w:pPr>
      <w:pStyle w:val="Footer"/>
      <w:tabs>
        <w:tab w:val="center" w:pos="7370"/>
      </w:tabs>
      <w:spacing w:before="40" w:after="40" w:line="36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BF1" w14:textId="77777777" w:rsidR="008B6132" w:rsidRDefault="008B6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D318" w14:textId="2260ACB7" w:rsidR="005A6AB4" w:rsidRPr="004A0CE6" w:rsidRDefault="005A6AB4" w:rsidP="002B5A86">
    <w:pPr>
      <w:pStyle w:val="Footer"/>
      <w:tabs>
        <w:tab w:val="center" w:pos="8504"/>
      </w:tabs>
      <w:spacing w:before="40" w:after="40" w:line="360" w:lineRule="auto"/>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565" w14:textId="77777777" w:rsidR="003B66AD" w:rsidRPr="004A0CE6" w:rsidRDefault="003B66AD" w:rsidP="002B5A86">
    <w:pPr>
      <w:pStyle w:val="Footer"/>
      <w:tabs>
        <w:tab w:val="center" w:pos="8504"/>
      </w:tabs>
      <w:spacing w:before="40" w:after="40" w:line="360" w:lineRule="auto"/>
      <w:rPr>
        <w:sz w:val="16"/>
        <w:szCs w:val="16"/>
      </w:rPr>
    </w:pPr>
    <w:r>
      <w:rPr>
        <w:sz w:val="16"/>
        <w:szCs w:val="16"/>
      </w:rPr>
      <w:t xml:space="preserve">VRQA </w:t>
    </w:r>
    <w:r w:rsidRPr="004A0CE6">
      <w:rPr>
        <w:sz w:val="16"/>
        <w:szCs w:val="16"/>
      </w:rPr>
      <w:t>Annual Report 2024</w:t>
    </w:r>
    <w:r>
      <w:rPr>
        <w:sz w:val="16"/>
        <w:szCs w:val="16"/>
      </w:rPr>
      <w:t>–</w:t>
    </w:r>
    <w:r w:rsidRPr="004A0CE6">
      <w:rPr>
        <w:sz w:val="16"/>
        <w:szCs w:val="16"/>
      </w:rPr>
      <w:t>25</w:t>
    </w:r>
    <w:r>
      <w:rPr>
        <w:sz w:val="16"/>
        <w:szCs w:val="16"/>
      </w:rPr>
      <w:t xml:space="preserve"> additional information</w:t>
    </w:r>
    <w:r w:rsidRPr="004A0CE6">
      <w:rPr>
        <w:sz w:val="16"/>
        <w:szCs w:val="16"/>
      </w:rPr>
      <w:tab/>
    </w:r>
    <w:r w:rsidRPr="00A809F4">
      <w:rPr>
        <w:sz w:val="16"/>
        <w:szCs w:val="16"/>
      </w:rPr>
      <w:fldChar w:fldCharType="begin"/>
    </w:r>
    <w:r w:rsidRPr="00A809F4">
      <w:rPr>
        <w:sz w:val="16"/>
        <w:szCs w:val="16"/>
      </w:rPr>
      <w:instrText>PAGE   \* MERGEFORMAT</w:instrText>
    </w:r>
    <w:r w:rsidRPr="00A809F4">
      <w:rPr>
        <w:sz w:val="16"/>
        <w:szCs w:val="16"/>
      </w:rPr>
      <w:fldChar w:fldCharType="separate"/>
    </w:r>
    <w:r w:rsidRPr="00A809F4">
      <w:rPr>
        <w:sz w:val="16"/>
        <w:szCs w:val="16"/>
        <w:lang w:val="en-GB"/>
      </w:rPr>
      <w:t>1</w:t>
    </w:r>
    <w:r w:rsidRPr="00A809F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1272" w14:textId="77777777" w:rsidR="001E5755" w:rsidRDefault="001E5755" w:rsidP="008D7B6B">
      <w:pPr>
        <w:spacing w:after="0" w:line="240" w:lineRule="auto"/>
      </w:pPr>
      <w:r>
        <w:separator/>
      </w:r>
    </w:p>
  </w:footnote>
  <w:footnote w:type="continuationSeparator" w:id="0">
    <w:p w14:paraId="0668FE7C" w14:textId="77777777" w:rsidR="001E5755" w:rsidRDefault="001E5755" w:rsidP="008D7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6B4C" w14:textId="77777777" w:rsidR="008B6132" w:rsidRDefault="008B6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3AD9" w14:textId="6FDC58A2" w:rsidR="008D7B6B" w:rsidRPr="00412C57" w:rsidRDefault="008D7B6B" w:rsidP="00D52E39">
    <w:pPr>
      <w:pStyle w:val="Header"/>
      <w:spacing w:before="40" w:after="40" w:line="36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F1F9" w14:textId="77777777" w:rsidR="008B6132" w:rsidRDefault="008B6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8057A0"/>
    <w:lvl w:ilvl="0">
      <w:start w:val="1"/>
      <w:numFmt w:val="bullet"/>
      <w:pStyle w:val="ListBullet2"/>
      <w:lvlText w:val="‒"/>
      <w:lvlJc w:val="left"/>
      <w:pPr>
        <w:ind w:left="530" w:hanging="360"/>
      </w:pPr>
      <w:rPr>
        <w:rFonts w:ascii="Arial" w:hAnsi="Arial" w:hint="default"/>
      </w:rPr>
    </w:lvl>
  </w:abstractNum>
  <w:abstractNum w:abstractNumId="1" w15:restartNumberingAfterBreak="0">
    <w:nsid w:val="0D4D6475"/>
    <w:multiLevelType w:val="multilevel"/>
    <w:tmpl w:val="A490D22A"/>
    <w:numStyleLink w:val="Style2"/>
  </w:abstractNum>
  <w:abstractNum w:abstractNumId="2" w15:restartNumberingAfterBreak="0">
    <w:nsid w:val="14564F68"/>
    <w:multiLevelType w:val="multilevel"/>
    <w:tmpl w:val="A490D22A"/>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6D3A6A"/>
    <w:multiLevelType w:val="multilevel"/>
    <w:tmpl w:val="7B804CF0"/>
    <w:lvl w:ilvl="0">
      <w:start w:val="1"/>
      <w:numFmt w:val="bullet"/>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3"/>
      <w:lvlText w:val=""/>
      <w:lvlJc w:val="left"/>
      <w:pPr>
        <w:tabs>
          <w:tab w:val="num" w:pos="864"/>
        </w:tabs>
        <w:ind w:left="864" w:hanging="288"/>
      </w:pPr>
      <w:rPr>
        <w:rFonts w:ascii="Symbol" w:hAnsi="Symbol" w:hint="default"/>
        <w:b w:val="0"/>
        <w:i w:val="0"/>
        <w:vanish w:val="0"/>
        <w:color w:val="4D4D4D"/>
        <w:sz w:val="22"/>
      </w:rPr>
    </w:lvl>
    <w:lvl w:ilvl="3">
      <w:start w:val="1"/>
      <w:numFmt w:val="bullet"/>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4856484D"/>
    <w:multiLevelType w:val="hybridMultilevel"/>
    <w:tmpl w:val="774E5FC4"/>
    <w:lvl w:ilvl="0" w:tplc="66FE78F8">
      <w:start w:val="1"/>
      <w:numFmt w:val="bullet"/>
      <w:pStyle w:val="Table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CE47C97"/>
    <w:multiLevelType w:val="hybridMultilevel"/>
    <w:tmpl w:val="3F1A118A"/>
    <w:lvl w:ilvl="0" w:tplc="5F781AF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7A21FF"/>
    <w:multiLevelType w:val="multilevel"/>
    <w:tmpl w:val="4AD64AD2"/>
    <w:lvl w:ilvl="0">
      <w:start w:val="1"/>
      <w:numFmt w:val="none"/>
      <w:pStyle w:val="Heading1"/>
      <w:lvlText w:val=""/>
      <w:lvlJc w:val="left"/>
      <w:pPr>
        <w:ind w:left="360" w:hanging="360"/>
      </w:pPr>
      <w:rPr>
        <w:rFonts w:hint="default"/>
      </w:rPr>
    </w:lvl>
    <w:lvl w:ilvl="1">
      <w:start w:val="1"/>
      <w:numFmt w:val="decimal"/>
      <w:pStyle w:val="Heading2"/>
      <w:lvlText w:val="%1%2.1"/>
      <w:lvlJc w:val="left"/>
      <w:pPr>
        <w:ind w:left="792" w:hanging="432"/>
      </w:pPr>
      <w:rPr>
        <w:rFonts w:hint="default"/>
      </w:rPr>
    </w:lvl>
    <w:lvl w:ilvl="2">
      <w:start w:val="1"/>
      <w:numFmt w:val="decimal"/>
      <w:pStyle w:val="Heading3"/>
      <w:lvlText w:val="%1%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A9601F"/>
    <w:multiLevelType w:val="hybridMultilevel"/>
    <w:tmpl w:val="09AED47A"/>
    <w:lvl w:ilvl="0" w:tplc="A5089B64">
      <w:start w:val="1"/>
      <w:numFmt w:val="bullet"/>
      <w:pStyle w:val="BulletLevel2"/>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0709AA"/>
    <w:multiLevelType w:val="multilevel"/>
    <w:tmpl w:val="A490D22A"/>
    <w:numStyleLink w:val="Style2"/>
  </w:abstractNum>
  <w:num w:numId="1" w16cid:durableId="1689986518">
    <w:abstractNumId w:val="5"/>
  </w:num>
  <w:num w:numId="2" w16cid:durableId="1415980587">
    <w:abstractNumId w:val="7"/>
  </w:num>
  <w:num w:numId="3" w16cid:durableId="1976913867">
    <w:abstractNumId w:val="4"/>
  </w:num>
  <w:num w:numId="4" w16cid:durableId="924459896">
    <w:abstractNumId w:val="6"/>
  </w:num>
  <w:num w:numId="5" w16cid:durableId="429206431">
    <w:abstractNumId w:val="2"/>
  </w:num>
  <w:num w:numId="6" w16cid:durableId="495270484">
    <w:abstractNumId w:val="8"/>
  </w:num>
  <w:num w:numId="7" w16cid:durableId="352995723">
    <w:abstractNumId w:val="1"/>
  </w:num>
  <w:num w:numId="8" w16cid:durableId="839547246">
    <w:abstractNumId w:val="3"/>
  </w:num>
  <w:num w:numId="9" w16cid:durableId="189615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B8"/>
    <w:rsid w:val="00005D10"/>
    <w:rsid w:val="00016611"/>
    <w:rsid w:val="0001748E"/>
    <w:rsid w:val="000231B1"/>
    <w:rsid w:val="00042AE2"/>
    <w:rsid w:val="000453B2"/>
    <w:rsid w:val="000462C9"/>
    <w:rsid w:val="000520C1"/>
    <w:rsid w:val="00063B19"/>
    <w:rsid w:val="000811E8"/>
    <w:rsid w:val="0008558E"/>
    <w:rsid w:val="00085DDB"/>
    <w:rsid w:val="00092169"/>
    <w:rsid w:val="00093886"/>
    <w:rsid w:val="000965B8"/>
    <w:rsid w:val="000A55F0"/>
    <w:rsid w:val="000B243C"/>
    <w:rsid w:val="000B3F5D"/>
    <w:rsid w:val="000B4A1F"/>
    <w:rsid w:val="000C0545"/>
    <w:rsid w:val="000C52EC"/>
    <w:rsid w:val="000D5317"/>
    <w:rsid w:val="000E0069"/>
    <w:rsid w:val="000F6FAC"/>
    <w:rsid w:val="00105A4C"/>
    <w:rsid w:val="00113E0D"/>
    <w:rsid w:val="001169EC"/>
    <w:rsid w:val="001206E9"/>
    <w:rsid w:val="0012101C"/>
    <w:rsid w:val="00130867"/>
    <w:rsid w:val="001350B1"/>
    <w:rsid w:val="00136DF2"/>
    <w:rsid w:val="00137CAC"/>
    <w:rsid w:val="001401BD"/>
    <w:rsid w:val="001417AB"/>
    <w:rsid w:val="00142D59"/>
    <w:rsid w:val="00155B56"/>
    <w:rsid w:val="0016237F"/>
    <w:rsid w:val="001711BE"/>
    <w:rsid w:val="00171BA1"/>
    <w:rsid w:val="00173A42"/>
    <w:rsid w:val="001923B7"/>
    <w:rsid w:val="001B56D3"/>
    <w:rsid w:val="001B6D13"/>
    <w:rsid w:val="001B734C"/>
    <w:rsid w:val="001C2855"/>
    <w:rsid w:val="001C5778"/>
    <w:rsid w:val="001D24AE"/>
    <w:rsid w:val="001D6C73"/>
    <w:rsid w:val="001E0597"/>
    <w:rsid w:val="001E39C6"/>
    <w:rsid w:val="001E5755"/>
    <w:rsid w:val="001E6D06"/>
    <w:rsid w:val="001E7639"/>
    <w:rsid w:val="001F79D0"/>
    <w:rsid w:val="00214D51"/>
    <w:rsid w:val="00222694"/>
    <w:rsid w:val="00226A09"/>
    <w:rsid w:val="00243D89"/>
    <w:rsid w:val="00245D4D"/>
    <w:rsid w:val="00255A6D"/>
    <w:rsid w:val="002651D6"/>
    <w:rsid w:val="00267950"/>
    <w:rsid w:val="00277D9A"/>
    <w:rsid w:val="00287337"/>
    <w:rsid w:val="002928E7"/>
    <w:rsid w:val="00297ED7"/>
    <w:rsid w:val="002A02B9"/>
    <w:rsid w:val="002A6EE7"/>
    <w:rsid w:val="002B0320"/>
    <w:rsid w:val="002B5A86"/>
    <w:rsid w:val="002B73B8"/>
    <w:rsid w:val="002C58E1"/>
    <w:rsid w:val="002D7414"/>
    <w:rsid w:val="002D7935"/>
    <w:rsid w:val="002E6615"/>
    <w:rsid w:val="002E7FB9"/>
    <w:rsid w:val="002F6F73"/>
    <w:rsid w:val="00302F78"/>
    <w:rsid w:val="0030685A"/>
    <w:rsid w:val="00311D52"/>
    <w:rsid w:val="00314966"/>
    <w:rsid w:val="00315B10"/>
    <w:rsid w:val="00320BC1"/>
    <w:rsid w:val="00325AF1"/>
    <w:rsid w:val="003309D5"/>
    <w:rsid w:val="003354FB"/>
    <w:rsid w:val="0034478D"/>
    <w:rsid w:val="0034520D"/>
    <w:rsid w:val="00361868"/>
    <w:rsid w:val="003712DE"/>
    <w:rsid w:val="00374D5C"/>
    <w:rsid w:val="003809F0"/>
    <w:rsid w:val="00386EEE"/>
    <w:rsid w:val="00387311"/>
    <w:rsid w:val="00390A90"/>
    <w:rsid w:val="00390C54"/>
    <w:rsid w:val="003A7FF2"/>
    <w:rsid w:val="003B245F"/>
    <w:rsid w:val="003B66AD"/>
    <w:rsid w:val="003B699E"/>
    <w:rsid w:val="003D5A82"/>
    <w:rsid w:val="003E1FF0"/>
    <w:rsid w:val="003E4B2B"/>
    <w:rsid w:val="003E7A0F"/>
    <w:rsid w:val="00412C57"/>
    <w:rsid w:val="00413E5C"/>
    <w:rsid w:val="00420BCB"/>
    <w:rsid w:val="004210EF"/>
    <w:rsid w:val="0042531A"/>
    <w:rsid w:val="00431823"/>
    <w:rsid w:val="00437E83"/>
    <w:rsid w:val="00440285"/>
    <w:rsid w:val="00443CE2"/>
    <w:rsid w:val="0044759E"/>
    <w:rsid w:val="00450A50"/>
    <w:rsid w:val="00480354"/>
    <w:rsid w:val="00494E2A"/>
    <w:rsid w:val="004A0CE6"/>
    <w:rsid w:val="004B5D52"/>
    <w:rsid w:val="004C3008"/>
    <w:rsid w:val="004C7CE3"/>
    <w:rsid w:val="004D675A"/>
    <w:rsid w:val="004E49E3"/>
    <w:rsid w:val="004E6E90"/>
    <w:rsid w:val="004F035E"/>
    <w:rsid w:val="004F2A3C"/>
    <w:rsid w:val="004F593C"/>
    <w:rsid w:val="004F732C"/>
    <w:rsid w:val="004F74E3"/>
    <w:rsid w:val="00501EE4"/>
    <w:rsid w:val="00511FB4"/>
    <w:rsid w:val="00515C5B"/>
    <w:rsid w:val="0052555E"/>
    <w:rsid w:val="00531644"/>
    <w:rsid w:val="005422EE"/>
    <w:rsid w:val="00544D7F"/>
    <w:rsid w:val="00552F7A"/>
    <w:rsid w:val="005621F5"/>
    <w:rsid w:val="0056423F"/>
    <w:rsid w:val="00584D6C"/>
    <w:rsid w:val="005A3260"/>
    <w:rsid w:val="005A6AB4"/>
    <w:rsid w:val="005B75F7"/>
    <w:rsid w:val="005C5645"/>
    <w:rsid w:val="005E4212"/>
    <w:rsid w:val="005F7245"/>
    <w:rsid w:val="00605D15"/>
    <w:rsid w:val="00620C01"/>
    <w:rsid w:val="00621CB0"/>
    <w:rsid w:val="006423C4"/>
    <w:rsid w:val="006440A9"/>
    <w:rsid w:val="00652F62"/>
    <w:rsid w:val="006652DD"/>
    <w:rsid w:val="00671793"/>
    <w:rsid w:val="006A7CAF"/>
    <w:rsid w:val="006B3320"/>
    <w:rsid w:val="006B4E99"/>
    <w:rsid w:val="006B4F79"/>
    <w:rsid w:val="006B5946"/>
    <w:rsid w:val="006B650B"/>
    <w:rsid w:val="006C2CF0"/>
    <w:rsid w:val="006C4EC4"/>
    <w:rsid w:val="006C72C4"/>
    <w:rsid w:val="006D0BD3"/>
    <w:rsid w:val="006D3C88"/>
    <w:rsid w:val="006D55A4"/>
    <w:rsid w:val="006D7058"/>
    <w:rsid w:val="006E4531"/>
    <w:rsid w:val="006F346F"/>
    <w:rsid w:val="0070178F"/>
    <w:rsid w:val="00704469"/>
    <w:rsid w:val="007063E3"/>
    <w:rsid w:val="007124DC"/>
    <w:rsid w:val="00713E2A"/>
    <w:rsid w:val="0075473A"/>
    <w:rsid w:val="00773711"/>
    <w:rsid w:val="00776E59"/>
    <w:rsid w:val="0078181A"/>
    <w:rsid w:val="0078672E"/>
    <w:rsid w:val="00790060"/>
    <w:rsid w:val="00793C41"/>
    <w:rsid w:val="0079509C"/>
    <w:rsid w:val="007A086B"/>
    <w:rsid w:val="007C5E3D"/>
    <w:rsid w:val="007C6D08"/>
    <w:rsid w:val="007C78B5"/>
    <w:rsid w:val="007E14F0"/>
    <w:rsid w:val="007E272B"/>
    <w:rsid w:val="007E3860"/>
    <w:rsid w:val="007E3E65"/>
    <w:rsid w:val="007E7A21"/>
    <w:rsid w:val="00801F8B"/>
    <w:rsid w:val="00804B4B"/>
    <w:rsid w:val="00805277"/>
    <w:rsid w:val="0080616A"/>
    <w:rsid w:val="00814E91"/>
    <w:rsid w:val="00815BFA"/>
    <w:rsid w:val="008205A0"/>
    <w:rsid w:val="00823458"/>
    <w:rsid w:val="00827E58"/>
    <w:rsid w:val="00834222"/>
    <w:rsid w:val="008515DC"/>
    <w:rsid w:val="00864EB0"/>
    <w:rsid w:val="00866690"/>
    <w:rsid w:val="00871848"/>
    <w:rsid w:val="008722CD"/>
    <w:rsid w:val="00885FEB"/>
    <w:rsid w:val="008936F5"/>
    <w:rsid w:val="00896D2D"/>
    <w:rsid w:val="008B6132"/>
    <w:rsid w:val="008B63E6"/>
    <w:rsid w:val="008D2B7B"/>
    <w:rsid w:val="008D3ACE"/>
    <w:rsid w:val="008D7B6B"/>
    <w:rsid w:val="008E0FD9"/>
    <w:rsid w:val="008E3E8F"/>
    <w:rsid w:val="008E4C6B"/>
    <w:rsid w:val="008E6EF8"/>
    <w:rsid w:val="008E76F7"/>
    <w:rsid w:val="008F015F"/>
    <w:rsid w:val="008F1F3A"/>
    <w:rsid w:val="00903457"/>
    <w:rsid w:val="0091027F"/>
    <w:rsid w:val="00927DE7"/>
    <w:rsid w:val="0093620D"/>
    <w:rsid w:val="00943188"/>
    <w:rsid w:val="00944BCD"/>
    <w:rsid w:val="00950CBD"/>
    <w:rsid w:val="00965067"/>
    <w:rsid w:val="009763BD"/>
    <w:rsid w:val="00986656"/>
    <w:rsid w:val="00992407"/>
    <w:rsid w:val="00995B6C"/>
    <w:rsid w:val="009A22C3"/>
    <w:rsid w:val="009B20FE"/>
    <w:rsid w:val="009B64D7"/>
    <w:rsid w:val="009C1EB7"/>
    <w:rsid w:val="009D1897"/>
    <w:rsid w:val="009D67FB"/>
    <w:rsid w:val="009E1F71"/>
    <w:rsid w:val="009F67A5"/>
    <w:rsid w:val="00A0375F"/>
    <w:rsid w:val="00A22B76"/>
    <w:rsid w:val="00A23674"/>
    <w:rsid w:val="00A33B54"/>
    <w:rsid w:val="00A425C5"/>
    <w:rsid w:val="00A46A89"/>
    <w:rsid w:val="00A57BE6"/>
    <w:rsid w:val="00A639B8"/>
    <w:rsid w:val="00A64FA1"/>
    <w:rsid w:val="00A67959"/>
    <w:rsid w:val="00A75931"/>
    <w:rsid w:val="00A809F4"/>
    <w:rsid w:val="00AD45B5"/>
    <w:rsid w:val="00AD7254"/>
    <w:rsid w:val="00AF2A2A"/>
    <w:rsid w:val="00AF486C"/>
    <w:rsid w:val="00B0494D"/>
    <w:rsid w:val="00B07834"/>
    <w:rsid w:val="00B07F85"/>
    <w:rsid w:val="00B300AF"/>
    <w:rsid w:val="00B30629"/>
    <w:rsid w:val="00B3353C"/>
    <w:rsid w:val="00B50E0C"/>
    <w:rsid w:val="00B551BE"/>
    <w:rsid w:val="00B727F0"/>
    <w:rsid w:val="00B766A0"/>
    <w:rsid w:val="00B82D9B"/>
    <w:rsid w:val="00B90354"/>
    <w:rsid w:val="00B9291B"/>
    <w:rsid w:val="00B96611"/>
    <w:rsid w:val="00BA1B03"/>
    <w:rsid w:val="00BA1FEE"/>
    <w:rsid w:val="00BA3A36"/>
    <w:rsid w:val="00BA73CF"/>
    <w:rsid w:val="00BC0FEC"/>
    <w:rsid w:val="00BC31C6"/>
    <w:rsid w:val="00BC414B"/>
    <w:rsid w:val="00BD3A19"/>
    <w:rsid w:val="00BD4116"/>
    <w:rsid w:val="00BE139C"/>
    <w:rsid w:val="00BE2362"/>
    <w:rsid w:val="00BE7BB2"/>
    <w:rsid w:val="00BF12E9"/>
    <w:rsid w:val="00BF2F18"/>
    <w:rsid w:val="00BF7CD6"/>
    <w:rsid w:val="00C11D7C"/>
    <w:rsid w:val="00C1655B"/>
    <w:rsid w:val="00C35EB9"/>
    <w:rsid w:val="00C43CA7"/>
    <w:rsid w:val="00C508BC"/>
    <w:rsid w:val="00C620EE"/>
    <w:rsid w:val="00C75861"/>
    <w:rsid w:val="00C929F9"/>
    <w:rsid w:val="00CC4040"/>
    <w:rsid w:val="00CE6813"/>
    <w:rsid w:val="00CF023B"/>
    <w:rsid w:val="00CF0E0F"/>
    <w:rsid w:val="00CF2538"/>
    <w:rsid w:val="00D01A8B"/>
    <w:rsid w:val="00D021FE"/>
    <w:rsid w:val="00D04593"/>
    <w:rsid w:val="00D15ED3"/>
    <w:rsid w:val="00D20E57"/>
    <w:rsid w:val="00D21B35"/>
    <w:rsid w:val="00D25842"/>
    <w:rsid w:val="00D35B38"/>
    <w:rsid w:val="00D373E4"/>
    <w:rsid w:val="00D37E28"/>
    <w:rsid w:val="00D5032D"/>
    <w:rsid w:val="00D52E39"/>
    <w:rsid w:val="00D61B3A"/>
    <w:rsid w:val="00D62193"/>
    <w:rsid w:val="00D7247C"/>
    <w:rsid w:val="00D7435B"/>
    <w:rsid w:val="00D763B8"/>
    <w:rsid w:val="00D77421"/>
    <w:rsid w:val="00D80F2C"/>
    <w:rsid w:val="00D87F2E"/>
    <w:rsid w:val="00D9001E"/>
    <w:rsid w:val="00D92298"/>
    <w:rsid w:val="00D967A8"/>
    <w:rsid w:val="00D973FF"/>
    <w:rsid w:val="00DA5A78"/>
    <w:rsid w:val="00DB2400"/>
    <w:rsid w:val="00DB2535"/>
    <w:rsid w:val="00DB4CFE"/>
    <w:rsid w:val="00DB7200"/>
    <w:rsid w:val="00DC2A8A"/>
    <w:rsid w:val="00DC44B3"/>
    <w:rsid w:val="00DC6589"/>
    <w:rsid w:val="00DD6F25"/>
    <w:rsid w:val="00DF45A9"/>
    <w:rsid w:val="00DF52D7"/>
    <w:rsid w:val="00E02ABA"/>
    <w:rsid w:val="00E13B01"/>
    <w:rsid w:val="00E16C3C"/>
    <w:rsid w:val="00E308C4"/>
    <w:rsid w:val="00E42B3F"/>
    <w:rsid w:val="00E47452"/>
    <w:rsid w:val="00E643B7"/>
    <w:rsid w:val="00E720AB"/>
    <w:rsid w:val="00E8077C"/>
    <w:rsid w:val="00E80A41"/>
    <w:rsid w:val="00E80F6E"/>
    <w:rsid w:val="00E9584B"/>
    <w:rsid w:val="00EA5666"/>
    <w:rsid w:val="00EB4BFB"/>
    <w:rsid w:val="00ED0399"/>
    <w:rsid w:val="00ED4F45"/>
    <w:rsid w:val="00ED6E88"/>
    <w:rsid w:val="00ED7796"/>
    <w:rsid w:val="00EE4B9A"/>
    <w:rsid w:val="00F1094C"/>
    <w:rsid w:val="00F10986"/>
    <w:rsid w:val="00F22AB9"/>
    <w:rsid w:val="00F26D55"/>
    <w:rsid w:val="00F3345A"/>
    <w:rsid w:val="00F3516B"/>
    <w:rsid w:val="00F35AC9"/>
    <w:rsid w:val="00F35FC2"/>
    <w:rsid w:val="00F36632"/>
    <w:rsid w:val="00F37295"/>
    <w:rsid w:val="00F440EF"/>
    <w:rsid w:val="00F44717"/>
    <w:rsid w:val="00F53DBE"/>
    <w:rsid w:val="00F55584"/>
    <w:rsid w:val="00F557FD"/>
    <w:rsid w:val="00F55CE5"/>
    <w:rsid w:val="00F572A4"/>
    <w:rsid w:val="00F6135D"/>
    <w:rsid w:val="00F661C3"/>
    <w:rsid w:val="00F672BD"/>
    <w:rsid w:val="00F804A5"/>
    <w:rsid w:val="00F85A93"/>
    <w:rsid w:val="00F93F8D"/>
    <w:rsid w:val="00FB6A90"/>
    <w:rsid w:val="00FC3340"/>
    <w:rsid w:val="00FC451D"/>
    <w:rsid w:val="00FC5C31"/>
    <w:rsid w:val="00FD1DD2"/>
    <w:rsid w:val="00FD58F9"/>
    <w:rsid w:val="00FE5B1B"/>
    <w:rsid w:val="00FE676A"/>
    <w:rsid w:val="00FF5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2441B"/>
  <w15:chartTrackingRefBased/>
  <w15:docId w15:val="{EAB75FBD-A91C-4575-B2E6-26590AA8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F85"/>
  </w:style>
  <w:style w:type="paragraph" w:styleId="Heading1">
    <w:name w:val="heading 1"/>
    <w:basedOn w:val="NotesHeading1"/>
    <w:next w:val="Normal"/>
    <w:link w:val="Heading1Char"/>
    <w:uiPriority w:val="9"/>
    <w:rsid w:val="001D6C73"/>
    <w:pPr>
      <w:numPr>
        <w:numId w:val="4"/>
      </w:numPr>
      <w:outlineLvl w:val="0"/>
    </w:pPr>
  </w:style>
  <w:style w:type="paragraph" w:styleId="Heading2">
    <w:name w:val="heading 2"/>
    <w:basedOn w:val="Head2"/>
    <w:next w:val="Normal"/>
    <w:link w:val="Heading2Char"/>
    <w:uiPriority w:val="9"/>
    <w:unhideWhenUsed/>
    <w:rsid w:val="00B727F0"/>
    <w:pPr>
      <w:keepNext/>
      <w:keepLines/>
      <w:numPr>
        <w:ilvl w:val="1"/>
        <w:numId w:val="4"/>
      </w:numPr>
      <w:spacing w:before="360" w:after="200" w:line="240" w:lineRule="auto"/>
    </w:pPr>
    <w:rPr>
      <w:rFonts w:asciiTheme="majorHAnsi" w:eastAsiaTheme="majorEastAsia" w:hAnsiTheme="majorHAnsi" w:cstheme="majorBidi"/>
      <w:color w:val="103D64" w:themeColor="text2"/>
      <w:sz w:val="28"/>
    </w:rPr>
  </w:style>
  <w:style w:type="paragraph" w:styleId="Heading3">
    <w:name w:val="heading 3"/>
    <w:basedOn w:val="Normal"/>
    <w:next w:val="Normal"/>
    <w:link w:val="Heading3Char"/>
    <w:uiPriority w:val="9"/>
    <w:unhideWhenUsed/>
    <w:qFormat/>
    <w:rsid w:val="00ED6E88"/>
    <w:pPr>
      <w:keepNext/>
      <w:keepLines/>
      <w:numPr>
        <w:ilvl w:val="2"/>
        <w:numId w:val="4"/>
      </w:numPr>
      <w:spacing w:before="200" w:after="200" w:line="240" w:lineRule="auto"/>
      <w:outlineLvl w:val="2"/>
    </w:pPr>
    <w:rPr>
      <w:rFonts w:eastAsiaTheme="majorEastAsia" w:cstheme="majorBidi"/>
      <w:color w:val="007EB3" w:themeColor="background2"/>
      <w:szCs w:val="28"/>
    </w:rPr>
  </w:style>
  <w:style w:type="paragraph" w:styleId="Heading4">
    <w:name w:val="heading 4"/>
    <w:basedOn w:val="Normal"/>
    <w:next w:val="Normal"/>
    <w:link w:val="Heading4Char"/>
    <w:uiPriority w:val="9"/>
    <w:semiHidden/>
    <w:unhideWhenUsed/>
    <w:qFormat/>
    <w:rsid w:val="000965B8"/>
    <w:pPr>
      <w:keepNext/>
      <w:keepLines/>
      <w:spacing w:before="80" w:after="40"/>
      <w:outlineLvl w:val="3"/>
    </w:pPr>
    <w:rPr>
      <w:rFonts w:eastAsiaTheme="majorEastAsia" w:cstheme="majorBidi"/>
      <w:i/>
      <w:iCs/>
      <w:color w:val="00909F" w:themeColor="accent1" w:themeShade="BF"/>
    </w:rPr>
  </w:style>
  <w:style w:type="paragraph" w:styleId="Heading5">
    <w:name w:val="heading 5"/>
    <w:basedOn w:val="Normal"/>
    <w:next w:val="Normal"/>
    <w:link w:val="Heading5Char"/>
    <w:uiPriority w:val="9"/>
    <w:semiHidden/>
    <w:unhideWhenUsed/>
    <w:qFormat/>
    <w:rsid w:val="000965B8"/>
    <w:pPr>
      <w:keepNext/>
      <w:keepLines/>
      <w:spacing w:before="80" w:after="40"/>
      <w:outlineLvl w:val="4"/>
    </w:pPr>
    <w:rPr>
      <w:rFonts w:eastAsiaTheme="majorEastAsia" w:cstheme="majorBidi"/>
      <w:color w:val="00909F" w:themeColor="accent1" w:themeShade="BF"/>
    </w:rPr>
  </w:style>
  <w:style w:type="paragraph" w:styleId="Heading6">
    <w:name w:val="heading 6"/>
    <w:basedOn w:val="Normal"/>
    <w:next w:val="Normal"/>
    <w:link w:val="Heading6Char"/>
    <w:uiPriority w:val="9"/>
    <w:semiHidden/>
    <w:unhideWhenUsed/>
    <w:qFormat/>
    <w:rsid w:val="00096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rint">
    <w:name w:val="Imprint"/>
    <w:basedOn w:val="AnnualReportBodyText"/>
    <w:qFormat/>
    <w:rsid w:val="00F804A5"/>
    <w:pPr>
      <w:spacing w:after="90" w:line="220" w:lineRule="atLeast"/>
    </w:pPr>
    <w:rPr>
      <w:sz w:val="16"/>
      <w:szCs w:val="16"/>
    </w:rPr>
  </w:style>
  <w:style w:type="character" w:customStyle="1" w:styleId="Heading1Char">
    <w:name w:val="Heading 1 Char"/>
    <w:basedOn w:val="DefaultParagraphFont"/>
    <w:link w:val="Heading1"/>
    <w:uiPriority w:val="9"/>
    <w:rsid w:val="001D6C73"/>
    <w:rPr>
      <w:color w:val="007EB3" w:themeColor="background2"/>
      <w:sz w:val="32"/>
      <w:szCs w:val="32"/>
    </w:rPr>
  </w:style>
  <w:style w:type="character" w:customStyle="1" w:styleId="Heading2Char">
    <w:name w:val="Heading 2 Char"/>
    <w:basedOn w:val="DefaultParagraphFont"/>
    <w:link w:val="Heading2"/>
    <w:uiPriority w:val="9"/>
    <w:rsid w:val="00B727F0"/>
    <w:rPr>
      <w:rFonts w:asciiTheme="majorHAnsi" w:eastAsiaTheme="majorEastAsia" w:hAnsiTheme="majorHAnsi" w:cstheme="majorBidi"/>
      <w:color w:val="103D64" w:themeColor="text2"/>
      <w:sz w:val="28"/>
      <w:szCs w:val="32"/>
    </w:rPr>
  </w:style>
  <w:style w:type="character" w:customStyle="1" w:styleId="Heading3Char">
    <w:name w:val="Heading 3 Char"/>
    <w:basedOn w:val="DefaultParagraphFont"/>
    <w:link w:val="Heading3"/>
    <w:uiPriority w:val="9"/>
    <w:rsid w:val="00ED6E88"/>
    <w:rPr>
      <w:rFonts w:eastAsiaTheme="majorEastAsia" w:cstheme="majorBidi"/>
      <w:color w:val="007EB3" w:themeColor="background2"/>
      <w:szCs w:val="28"/>
    </w:rPr>
  </w:style>
  <w:style w:type="character" w:customStyle="1" w:styleId="Heading4Char">
    <w:name w:val="Heading 4 Char"/>
    <w:basedOn w:val="DefaultParagraphFont"/>
    <w:link w:val="Heading4"/>
    <w:uiPriority w:val="9"/>
    <w:semiHidden/>
    <w:rsid w:val="000965B8"/>
    <w:rPr>
      <w:rFonts w:eastAsiaTheme="majorEastAsia" w:cstheme="majorBidi"/>
      <w:i/>
      <w:iCs/>
      <w:color w:val="00909F" w:themeColor="accent1" w:themeShade="BF"/>
    </w:rPr>
  </w:style>
  <w:style w:type="character" w:customStyle="1" w:styleId="Heading5Char">
    <w:name w:val="Heading 5 Char"/>
    <w:basedOn w:val="DefaultParagraphFont"/>
    <w:link w:val="Heading5"/>
    <w:uiPriority w:val="9"/>
    <w:semiHidden/>
    <w:rsid w:val="000965B8"/>
    <w:rPr>
      <w:rFonts w:eastAsiaTheme="majorEastAsia" w:cstheme="majorBidi"/>
      <w:color w:val="00909F" w:themeColor="accent1" w:themeShade="BF"/>
    </w:rPr>
  </w:style>
  <w:style w:type="character" w:customStyle="1" w:styleId="Heading6Char">
    <w:name w:val="Heading 6 Char"/>
    <w:basedOn w:val="DefaultParagraphFont"/>
    <w:link w:val="Heading6"/>
    <w:uiPriority w:val="9"/>
    <w:semiHidden/>
    <w:rsid w:val="00096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B8"/>
    <w:rPr>
      <w:rFonts w:eastAsiaTheme="majorEastAsia" w:cstheme="majorBidi"/>
      <w:color w:val="272727" w:themeColor="text1" w:themeTint="D8"/>
    </w:rPr>
  </w:style>
  <w:style w:type="paragraph" w:customStyle="1" w:styleId="Imprintfirst">
    <w:name w:val="Imprint first"/>
    <w:basedOn w:val="AnnualReportBodyText"/>
    <w:next w:val="Imprint"/>
    <w:qFormat/>
    <w:rsid w:val="00F804A5"/>
    <w:pPr>
      <w:spacing w:before="6000"/>
    </w:pPr>
  </w:style>
  <w:style w:type="paragraph" w:customStyle="1" w:styleId="AnnualReportBodyText">
    <w:name w:val="Annual Report Body Text"/>
    <w:basedOn w:val="Normal"/>
    <w:rsid w:val="00834222"/>
    <w:pPr>
      <w:spacing w:before="120" w:after="120" w:line="240" w:lineRule="atLeast"/>
    </w:pPr>
    <w:rPr>
      <w:sz w:val="18"/>
      <w:szCs w:val="18"/>
    </w:rPr>
  </w:style>
  <w:style w:type="paragraph" w:customStyle="1" w:styleId="Head21">
    <w:name w:val="Head 2 +1"/>
    <w:basedOn w:val="Normal"/>
    <w:next w:val="AnnualReportBodyText"/>
    <w:qFormat/>
    <w:rsid w:val="002D7935"/>
    <w:pPr>
      <w:spacing w:after="240" w:line="360" w:lineRule="atLeast"/>
      <w:outlineLvl w:val="1"/>
    </w:pPr>
    <w:rPr>
      <w:color w:val="007EB3" w:themeColor="background2"/>
      <w:sz w:val="32"/>
      <w:szCs w:val="32"/>
    </w:rPr>
  </w:style>
  <w:style w:type="paragraph" w:customStyle="1" w:styleId="Head2">
    <w:name w:val="Head 2"/>
    <w:basedOn w:val="Head21"/>
    <w:next w:val="AnnualReportBodyText"/>
    <w:qFormat/>
    <w:rsid w:val="002D7935"/>
    <w:pPr>
      <w:spacing w:before="480"/>
    </w:pPr>
  </w:style>
  <w:style w:type="paragraph" w:customStyle="1" w:styleId="Head3">
    <w:name w:val="Head 3"/>
    <w:basedOn w:val="Head1"/>
    <w:next w:val="AnnualReportBodyText"/>
    <w:qFormat/>
    <w:rsid w:val="002D7935"/>
    <w:pPr>
      <w:spacing w:before="360" w:after="200" w:line="280" w:lineRule="atLeast"/>
      <w:outlineLvl w:val="2"/>
    </w:pPr>
    <w:rPr>
      <w:sz w:val="28"/>
      <w:szCs w:val="28"/>
    </w:rPr>
  </w:style>
  <w:style w:type="paragraph" w:customStyle="1" w:styleId="Head32">
    <w:name w:val="Head 3 + 2"/>
    <w:basedOn w:val="Head3"/>
    <w:next w:val="AnnualReportBodyText"/>
    <w:qFormat/>
    <w:rsid w:val="002D7935"/>
    <w:pPr>
      <w:spacing w:before="0"/>
    </w:pPr>
  </w:style>
  <w:style w:type="paragraph" w:customStyle="1" w:styleId="Head4">
    <w:name w:val="Head 4"/>
    <w:basedOn w:val="Head3"/>
    <w:next w:val="AnnualReportBodyText"/>
    <w:qFormat/>
    <w:rsid w:val="000B4A1F"/>
    <w:pPr>
      <w:spacing w:before="200" w:line="240" w:lineRule="atLeast"/>
      <w:outlineLvl w:val="3"/>
    </w:pPr>
    <w:rPr>
      <w:color w:val="007EB3" w:themeColor="background2"/>
      <w:sz w:val="22"/>
      <w:szCs w:val="22"/>
    </w:rPr>
  </w:style>
  <w:style w:type="paragraph" w:customStyle="1" w:styleId="Head43">
    <w:name w:val="Head 4 + 3"/>
    <w:basedOn w:val="Head4"/>
    <w:next w:val="AnnualReportBodyText"/>
    <w:qFormat/>
    <w:rsid w:val="000B4A1F"/>
    <w:pPr>
      <w:spacing w:before="0"/>
    </w:pPr>
  </w:style>
  <w:style w:type="paragraph" w:customStyle="1" w:styleId="Head5">
    <w:name w:val="Head 5"/>
    <w:basedOn w:val="Head4"/>
    <w:next w:val="AnnualReportBodyText"/>
    <w:qFormat/>
    <w:rsid w:val="00F6135D"/>
    <w:pPr>
      <w:spacing w:before="240"/>
      <w:outlineLvl w:val="4"/>
    </w:pPr>
    <w:rPr>
      <w:b/>
      <w:bCs/>
      <w:color w:val="000000" w:themeColor="text1"/>
      <w:sz w:val="18"/>
    </w:rPr>
  </w:style>
  <w:style w:type="paragraph" w:customStyle="1" w:styleId="Head54">
    <w:name w:val="Head 5 +4"/>
    <w:basedOn w:val="Head5"/>
    <w:next w:val="AnnualReportBodyText"/>
    <w:qFormat/>
    <w:rsid w:val="00F6135D"/>
    <w:pPr>
      <w:spacing w:before="0"/>
    </w:pPr>
  </w:style>
  <w:style w:type="paragraph" w:customStyle="1" w:styleId="BulletLevel1">
    <w:name w:val="Bullet Level 1"/>
    <w:basedOn w:val="AnnualReportBodyText"/>
    <w:rsid w:val="002A6EE7"/>
    <w:pPr>
      <w:numPr>
        <w:numId w:val="1"/>
      </w:numPr>
      <w:spacing w:after="0"/>
    </w:pPr>
  </w:style>
  <w:style w:type="paragraph" w:customStyle="1" w:styleId="Head1">
    <w:name w:val="Head 1"/>
    <w:next w:val="AnnualReportBodyText"/>
    <w:qFormat/>
    <w:rsid w:val="002D7935"/>
    <w:pPr>
      <w:spacing w:after="360" w:line="400" w:lineRule="atLeast"/>
      <w:outlineLvl w:val="0"/>
    </w:pPr>
    <w:rPr>
      <w:color w:val="103D64" w:themeColor="text2"/>
      <w:sz w:val="36"/>
    </w:rPr>
  </w:style>
  <w:style w:type="paragraph" w:customStyle="1" w:styleId="BulletLevel1last">
    <w:name w:val="Bullet Level 1 last"/>
    <w:basedOn w:val="BulletLevel1"/>
    <w:next w:val="AnnualReportBodyText"/>
    <w:qFormat/>
    <w:rsid w:val="002A6EE7"/>
    <w:pPr>
      <w:spacing w:after="240"/>
    </w:pPr>
  </w:style>
  <w:style w:type="paragraph" w:styleId="Header">
    <w:name w:val="header"/>
    <w:basedOn w:val="Normal"/>
    <w:link w:val="HeaderChar"/>
    <w:uiPriority w:val="99"/>
    <w:unhideWhenUsed/>
    <w:rsid w:val="008D7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B6B"/>
  </w:style>
  <w:style w:type="paragraph" w:styleId="Footer">
    <w:name w:val="footer"/>
    <w:basedOn w:val="Normal"/>
    <w:link w:val="FooterChar"/>
    <w:uiPriority w:val="99"/>
    <w:unhideWhenUsed/>
    <w:rsid w:val="002B5A86"/>
    <w:pPr>
      <w:tabs>
        <w:tab w:val="right" w:pos="9026"/>
      </w:tabs>
      <w:spacing w:after="0" w:line="240" w:lineRule="auto"/>
    </w:pPr>
  </w:style>
  <w:style w:type="character" w:customStyle="1" w:styleId="FooterChar">
    <w:name w:val="Footer Char"/>
    <w:basedOn w:val="DefaultParagraphFont"/>
    <w:link w:val="Footer"/>
    <w:uiPriority w:val="99"/>
    <w:rsid w:val="002B5A86"/>
  </w:style>
  <w:style w:type="paragraph" w:customStyle="1" w:styleId="BulletLevel2">
    <w:name w:val="Bullet Level 2"/>
    <w:basedOn w:val="BulletLevel1"/>
    <w:rsid w:val="00A22B76"/>
    <w:pPr>
      <w:numPr>
        <w:numId w:val="2"/>
      </w:numPr>
    </w:pPr>
  </w:style>
  <w:style w:type="paragraph" w:customStyle="1" w:styleId="Tablecaption">
    <w:name w:val="Table caption"/>
    <w:basedOn w:val="AnnualReportBodyText"/>
    <w:qFormat/>
    <w:rsid w:val="0091027F"/>
    <w:rPr>
      <w:b/>
      <w:bCs/>
      <w:color w:val="000000" w:themeColor="text1"/>
    </w:rPr>
  </w:style>
  <w:style w:type="table" w:styleId="TableGrid">
    <w:name w:val="Table Grid"/>
    <w:basedOn w:val="TableNormal"/>
    <w:uiPriority w:val="39"/>
    <w:rsid w:val="004E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AnnualReportBodyText"/>
    <w:qFormat/>
    <w:rsid w:val="00440285"/>
    <w:pPr>
      <w:spacing w:before="0" w:after="0" w:line="240" w:lineRule="auto"/>
    </w:pPr>
    <w:rPr>
      <w:b/>
      <w:color w:val="FFFFFF" w:themeColor="background1"/>
    </w:rPr>
  </w:style>
  <w:style w:type="paragraph" w:customStyle="1" w:styleId="Tabletext">
    <w:name w:val="Table text"/>
    <w:basedOn w:val="Tablecaption"/>
    <w:qFormat/>
    <w:rsid w:val="004F593C"/>
    <w:pPr>
      <w:spacing w:before="0" w:after="0" w:line="240" w:lineRule="auto"/>
    </w:pPr>
    <w:rPr>
      <w:b w:val="0"/>
      <w:bCs w:val="0"/>
    </w:rPr>
  </w:style>
  <w:style w:type="paragraph" w:customStyle="1" w:styleId="Tablebullet">
    <w:name w:val="Table bullet"/>
    <w:basedOn w:val="Tabletext"/>
    <w:next w:val="Tabletext"/>
    <w:qFormat/>
    <w:rsid w:val="001E7639"/>
    <w:pPr>
      <w:numPr>
        <w:numId w:val="3"/>
      </w:numPr>
    </w:pPr>
  </w:style>
  <w:style w:type="table" w:customStyle="1" w:styleId="Style1">
    <w:name w:val="Style1"/>
    <w:basedOn w:val="TableNormal"/>
    <w:uiPriority w:val="99"/>
    <w:rsid w:val="000C52EC"/>
    <w:pPr>
      <w:spacing w:after="0" w:line="240" w:lineRule="auto"/>
    </w:pPr>
    <w:tblPr/>
  </w:style>
  <w:style w:type="character" w:customStyle="1" w:styleId="Bolddarkblue">
    <w:name w:val="Bold dark blue"/>
    <w:basedOn w:val="DefaultParagraphFont"/>
    <w:uiPriority w:val="1"/>
    <w:qFormat/>
    <w:rsid w:val="0093620D"/>
    <w:rPr>
      <w:b/>
      <w:bCs/>
      <w:color w:val="103D64" w:themeColor="text2"/>
    </w:rPr>
  </w:style>
  <w:style w:type="character" w:customStyle="1" w:styleId="Boldmidblue">
    <w:name w:val="Bold mid blue"/>
    <w:basedOn w:val="Bolddarkblue"/>
    <w:uiPriority w:val="1"/>
    <w:qFormat/>
    <w:rsid w:val="00314966"/>
    <w:rPr>
      <w:b/>
      <w:bCs/>
      <w:color w:val="007EB3" w:themeColor="background2"/>
    </w:rPr>
  </w:style>
  <w:style w:type="character" w:customStyle="1" w:styleId="Tabletextbold">
    <w:name w:val="Table text bold"/>
    <w:basedOn w:val="DefaultParagraphFont"/>
    <w:uiPriority w:val="1"/>
    <w:qFormat/>
    <w:rsid w:val="000A55F0"/>
    <w:rPr>
      <w:b/>
      <w:bCs/>
    </w:rPr>
  </w:style>
  <w:style w:type="table" w:styleId="MediumShading2-Accent5">
    <w:name w:val="Medium Shading 2 Accent 5"/>
    <w:basedOn w:val="TableNormal"/>
    <w:uiPriority w:val="64"/>
    <w:rsid w:val="0075473A"/>
    <w:pPr>
      <w:spacing w:after="0" w:line="240" w:lineRule="auto"/>
    </w:pPr>
    <w:rPr>
      <w:rFonts w:eastAsiaTheme="minorEastAsia"/>
      <w:kern w:val="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nnualreportbandedrows">
    <w:name w:val="Annual report banded rows"/>
    <w:basedOn w:val="TableNormal"/>
    <w:uiPriority w:val="99"/>
    <w:rsid w:val="00F35AC9"/>
    <w:pPr>
      <w:spacing w:after="0" w:line="240" w:lineRule="auto"/>
    </w:pPr>
    <w:rPr>
      <w:sz w:val="18"/>
    </w:rPr>
    <w:tblPr>
      <w:tblStyleRowBandSize w:val="1"/>
      <w:tblStyleColBandSize w:val="1"/>
      <w:tblCellMar>
        <w:top w:w="113" w:type="dxa"/>
        <w:bottom w:w="113" w:type="dxa"/>
      </w:tblCellMar>
    </w:tblPr>
    <w:tcPr>
      <w:noWrap/>
    </w:tcPr>
    <w:tblStylePr w:type="firstRow">
      <w:rPr>
        <w:rFonts w:ascii="Arial" w:hAnsi="Arial"/>
      </w:rPr>
      <w:tblPr/>
      <w:tcPr>
        <w:shd w:val="clear" w:color="auto" w:fill="103D64" w:themeFill="text2"/>
      </w:tcPr>
    </w:tblStylePr>
    <w:tblStylePr w:type="lastRow">
      <w:tblPr/>
      <w:tcPr>
        <w:tcBorders>
          <w:bottom w:val="single" w:sz="18" w:space="0" w:color="888B8D" w:themeColor="accent4"/>
        </w:tcBorders>
      </w:tcPr>
    </w:tblStylePr>
    <w:tblStylePr w:type="band2Horz">
      <w:tblPr/>
      <w:tcPr>
        <w:shd w:val="clear" w:color="auto" w:fill="D9D9D9" w:themeFill="background1" w:themeFillShade="D9"/>
      </w:tcPr>
    </w:tblStylePr>
  </w:style>
  <w:style w:type="table" w:customStyle="1" w:styleId="Annualreportbandedcolumns">
    <w:name w:val="Annual report banded columns"/>
    <w:basedOn w:val="TableNormal"/>
    <w:uiPriority w:val="99"/>
    <w:rsid w:val="00F440EF"/>
    <w:pPr>
      <w:spacing w:after="0" w:line="240" w:lineRule="auto"/>
    </w:pPr>
    <w:rPr>
      <w:sz w:val="18"/>
    </w:rPr>
    <w:tblPr>
      <w:tblStyleColBandSize w:val="1"/>
      <w:tblCellMar>
        <w:top w:w="113" w:type="dxa"/>
        <w:bottom w:w="113" w:type="dxa"/>
      </w:tblCellMar>
    </w:tblPr>
    <w:tblStylePr w:type="firstRow">
      <w:tblPr/>
      <w:tcPr>
        <w:shd w:val="clear" w:color="auto" w:fill="103D64" w:themeFill="text2"/>
      </w:tcPr>
    </w:tblStylePr>
    <w:tblStylePr w:type="lastRow">
      <w:tblPr/>
      <w:tcPr>
        <w:tcBorders>
          <w:bottom w:val="single" w:sz="18" w:space="0" w:color="888B8D" w:themeColor="accent4"/>
        </w:tcBorders>
      </w:tcPr>
    </w:tblStylePr>
    <w:tblStylePr w:type="band2Vert">
      <w:tblPr/>
      <w:tcPr>
        <w:shd w:val="clear" w:color="auto" w:fill="D9D9D9" w:themeFill="background1" w:themeFillShade="D9"/>
      </w:tcPr>
    </w:tblStylePr>
  </w:style>
  <w:style w:type="paragraph" w:customStyle="1" w:styleId="TableHeadFinancial">
    <w:name w:val="Table Head Financial"/>
    <w:basedOn w:val="Tablehead"/>
    <w:rsid w:val="000453B2"/>
    <w:rPr>
      <w:sz w:val="17"/>
      <w:szCs w:val="17"/>
    </w:rPr>
  </w:style>
  <w:style w:type="paragraph" w:customStyle="1" w:styleId="TabletextFinancial">
    <w:name w:val="Table text Financial"/>
    <w:basedOn w:val="Tabletext"/>
    <w:rsid w:val="000453B2"/>
    <w:rPr>
      <w:sz w:val="17"/>
      <w:szCs w:val="17"/>
    </w:rPr>
  </w:style>
  <w:style w:type="paragraph" w:customStyle="1" w:styleId="Tablenumbersfinancial">
    <w:name w:val="Table numbers financial"/>
    <w:basedOn w:val="TabletextFinancial"/>
    <w:rsid w:val="00D62193"/>
    <w:pPr>
      <w:jc w:val="right"/>
    </w:pPr>
  </w:style>
  <w:style w:type="table" w:customStyle="1" w:styleId="Annualreportfinancialbandedcolumns">
    <w:name w:val="Annual report financial banded columns"/>
    <w:basedOn w:val="Annualreportbandedcolumns"/>
    <w:uiPriority w:val="99"/>
    <w:rsid w:val="003A7FF2"/>
    <w:rPr>
      <w:sz w:val="17"/>
    </w:rPr>
    <w:tblPr>
      <w:tblCellMar>
        <w:top w:w="57" w:type="dxa"/>
        <w:bottom w:w="57" w:type="dxa"/>
      </w:tblCellMar>
    </w:tblPr>
    <w:tblStylePr w:type="firstRow">
      <w:tblPr/>
      <w:tcPr>
        <w:shd w:val="clear" w:color="auto" w:fill="103D64" w:themeFill="text2"/>
      </w:tcPr>
    </w:tblStylePr>
    <w:tblStylePr w:type="lastRow">
      <w:tblPr/>
      <w:tcPr>
        <w:tcBorders>
          <w:top w:val="single" w:sz="4" w:space="0" w:color="888B8D" w:themeColor="accent4"/>
          <w:left w:val="nil"/>
          <w:bottom w:val="single" w:sz="18" w:space="0" w:color="888B8D" w:themeColor="accent4"/>
          <w:right w:val="nil"/>
          <w:insideH w:val="nil"/>
          <w:insideV w:val="nil"/>
          <w:tl2br w:val="nil"/>
          <w:tr2bl w:val="nil"/>
        </w:tcBorders>
      </w:tcPr>
    </w:tblStylePr>
    <w:tblStylePr w:type="band2Vert">
      <w:tblPr/>
      <w:tcPr>
        <w:shd w:val="clear" w:color="auto" w:fill="D9D9D9" w:themeFill="background1" w:themeFillShade="D9"/>
      </w:tcPr>
    </w:tblStylePr>
  </w:style>
  <w:style w:type="numbering" w:customStyle="1" w:styleId="Style2">
    <w:name w:val="Style2"/>
    <w:uiPriority w:val="99"/>
    <w:rsid w:val="00CC4040"/>
    <w:pPr>
      <w:numPr>
        <w:numId w:val="5"/>
      </w:numPr>
    </w:pPr>
  </w:style>
  <w:style w:type="paragraph" w:styleId="TOC1">
    <w:name w:val="toc 1"/>
    <w:basedOn w:val="Normal"/>
    <w:next w:val="Normal"/>
    <w:autoRedefine/>
    <w:uiPriority w:val="39"/>
    <w:unhideWhenUsed/>
    <w:rsid w:val="00D01A8B"/>
    <w:pPr>
      <w:tabs>
        <w:tab w:val="right" w:leader="dot" w:pos="17010"/>
      </w:tabs>
      <w:spacing w:before="120" w:after="120" w:line="240" w:lineRule="auto"/>
    </w:pPr>
    <w:rPr>
      <w:sz w:val="18"/>
    </w:rPr>
  </w:style>
  <w:style w:type="paragraph" w:styleId="TOC2">
    <w:name w:val="toc 2"/>
    <w:basedOn w:val="Normal"/>
    <w:next w:val="Normal"/>
    <w:autoRedefine/>
    <w:uiPriority w:val="39"/>
    <w:unhideWhenUsed/>
    <w:rsid w:val="006B5946"/>
    <w:pPr>
      <w:spacing w:after="120" w:line="240" w:lineRule="auto"/>
      <w:ind w:left="284"/>
    </w:pPr>
    <w:rPr>
      <w:sz w:val="18"/>
    </w:rPr>
  </w:style>
  <w:style w:type="paragraph" w:styleId="TOC3">
    <w:name w:val="toc 3"/>
    <w:basedOn w:val="Normal"/>
    <w:next w:val="Normal"/>
    <w:autoRedefine/>
    <w:uiPriority w:val="39"/>
    <w:unhideWhenUsed/>
    <w:rsid w:val="00AD45B5"/>
    <w:pPr>
      <w:spacing w:after="100"/>
      <w:ind w:left="440"/>
    </w:pPr>
  </w:style>
  <w:style w:type="character" w:styleId="Hyperlink">
    <w:name w:val="Hyperlink"/>
    <w:basedOn w:val="DefaultParagraphFont"/>
    <w:uiPriority w:val="99"/>
    <w:unhideWhenUsed/>
    <w:rsid w:val="00AD45B5"/>
    <w:rPr>
      <w:color w:val="007EB3" w:themeColor="hyperlink"/>
      <w:u w:val="single"/>
    </w:rPr>
  </w:style>
  <w:style w:type="paragraph" w:customStyle="1" w:styleId="Tabletextfinancial0">
    <w:name w:val="Table text financial"/>
    <w:basedOn w:val="Tabletext"/>
    <w:rsid w:val="00F22AB9"/>
    <w:rPr>
      <w:sz w:val="17"/>
      <w:szCs w:val="17"/>
    </w:rPr>
  </w:style>
  <w:style w:type="paragraph" w:customStyle="1" w:styleId="NotesHeading1">
    <w:name w:val="Notes Heading 1"/>
    <w:basedOn w:val="Head2"/>
    <w:rsid w:val="00D77421"/>
  </w:style>
  <w:style w:type="paragraph" w:customStyle="1" w:styleId="Head2FInancials">
    <w:name w:val="Head 2 FInancials"/>
    <w:basedOn w:val="Head2"/>
    <w:rsid w:val="00A639B8"/>
  </w:style>
  <w:style w:type="table" w:customStyle="1" w:styleId="Annualreportnobanding">
    <w:name w:val="Annual report no banding"/>
    <w:basedOn w:val="Annualreportbandedcolumns"/>
    <w:uiPriority w:val="99"/>
    <w:rsid w:val="00FB6A90"/>
    <w:tblPr>
      <w:tblStyleRowBandSize w:val="1"/>
    </w:tblPr>
    <w:tblStylePr w:type="firstRow">
      <w:tblPr/>
      <w:tcPr>
        <w:shd w:val="clear" w:color="auto" w:fill="103D64" w:themeFill="text2"/>
      </w:tcPr>
    </w:tblStylePr>
    <w:tblStylePr w:type="lastRow">
      <w:tblPr/>
      <w:tcPr>
        <w:tcBorders>
          <w:bottom w:val="single" w:sz="18" w:space="0" w:color="888B8D" w:themeColor="accent4"/>
        </w:tcBorders>
      </w:tcPr>
    </w:tblStylePr>
    <w:tblStylePr w:type="band2Vert">
      <w:tblPr/>
      <w:tcPr>
        <w:shd w:val="clear" w:color="auto" w:fill="D9D9D9" w:themeFill="background1" w:themeFillShade="D9"/>
      </w:tcPr>
    </w:tblStylePr>
  </w:style>
  <w:style w:type="table" w:customStyle="1" w:styleId="Annualreporttableborders">
    <w:name w:val="Annual report table borders"/>
    <w:basedOn w:val="Annualreportnobanding"/>
    <w:uiPriority w:val="99"/>
    <w:rsid w:val="00D21B35"/>
    <w:tblPr>
      <w:tblBorders>
        <w:top w:val="single" w:sz="4" w:space="0" w:color="888B8D" w:themeColor="accent4"/>
        <w:left w:val="single" w:sz="4" w:space="0" w:color="888B8D" w:themeColor="accent4"/>
        <w:bottom w:val="single" w:sz="4" w:space="0" w:color="888B8D" w:themeColor="accent4"/>
        <w:right w:val="single" w:sz="4" w:space="0" w:color="888B8D" w:themeColor="accent4"/>
        <w:insideH w:val="single" w:sz="4" w:space="0" w:color="888B8D" w:themeColor="accent4"/>
        <w:insideV w:val="single" w:sz="4" w:space="0" w:color="888B8D" w:themeColor="accent4"/>
      </w:tblBorders>
    </w:tblPr>
    <w:tblStylePr w:type="firstRow">
      <w:tblPr/>
      <w:tcPr>
        <w:tcBorders>
          <w:insideH w:val="nil"/>
          <w:insideV w:val="single" w:sz="4" w:space="0" w:color="FFFFFF" w:themeColor="background1"/>
        </w:tcBorders>
        <w:shd w:val="clear" w:color="auto" w:fill="103D64" w:themeFill="text2"/>
      </w:tcPr>
    </w:tblStylePr>
    <w:tblStylePr w:type="lastRow">
      <w:tblPr/>
      <w:tcPr>
        <w:tcBorders>
          <w:bottom w:val="single" w:sz="18" w:space="0" w:color="888B8D" w:themeColor="accent4"/>
        </w:tcBorders>
      </w:tcPr>
    </w:tblStylePr>
    <w:tblStylePr w:type="band2Vert">
      <w:tblPr/>
      <w:tcPr>
        <w:shd w:val="clear" w:color="auto" w:fill="D9D9D9" w:themeFill="background1" w:themeFillShade="D9"/>
      </w:tcPr>
    </w:tblStylePr>
  </w:style>
  <w:style w:type="paragraph" w:styleId="TOCHeading">
    <w:name w:val="TOC Heading"/>
    <w:basedOn w:val="Heading1"/>
    <w:next w:val="Normal"/>
    <w:uiPriority w:val="39"/>
    <w:unhideWhenUsed/>
    <w:qFormat/>
    <w:rsid w:val="00773711"/>
    <w:pPr>
      <w:keepNext/>
      <w:keepLines/>
      <w:numPr>
        <w:numId w:val="0"/>
      </w:numPr>
      <w:spacing w:before="240" w:line="259" w:lineRule="auto"/>
      <w:outlineLvl w:val="9"/>
    </w:pPr>
    <w:rPr>
      <w:rFonts w:asciiTheme="majorHAnsi" w:eastAsiaTheme="majorEastAsia" w:hAnsiTheme="majorHAnsi" w:cstheme="majorBidi"/>
      <w:color w:val="00909F" w:themeColor="accent1" w:themeShade="BF"/>
      <w:kern w:val="0"/>
      <w:lang w:eastAsia="en-AU"/>
      <w14:ligatures w14:val="none"/>
    </w:rPr>
  </w:style>
  <w:style w:type="paragraph" w:customStyle="1" w:styleId="TOCHead">
    <w:name w:val="TOC Head"/>
    <w:basedOn w:val="Head1"/>
    <w:rsid w:val="00FD58F9"/>
  </w:style>
  <w:style w:type="paragraph" w:customStyle="1" w:styleId="Head2notes">
    <w:name w:val="Head 2 notes"/>
    <w:basedOn w:val="Head2"/>
    <w:rsid w:val="001169EC"/>
  </w:style>
  <w:style w:type="character" w:customStyle="1" w:styleId="Italictext">
    <w:name w:val="Italic text"/>
    <w:basedOn w:val="DefaultParagraphFont"/>
    <w:uiPriority w:val="1"/>
    <w:rsid w:val="001169EC"/>
    <w:rPr>
      <w:i/>
      <w:iCs/>
    </w:rPr>
  </w:style>
  <w:style w:type="table" w:customStyle="1" w:styleId="Annualreportfinancialsbandedcolumnwithtotalrow">
    <w:name w:val="Annual report financials banded column with total row"/>
    <w:basedOn w:val="TableNormal"/>
    <w:uiPriority w:val="99"/>
    <w:rsid w:val="001169EC"/>
    <w:pPr>
      <w:spacing w:after="0" w:line="240" w:lineRule="auto"/>
    </w:pPr>
    <w:rPr>
      <w:sz w:val="17"/>
    </w:rPr>
    <w:tblPr>
      <w:tblStyleColBandSize w:val="1"/>
      <w:tblCellMar>
        <w:top w:w="57" w:type="dxa"/>
        <w:bottom w:w="57" w:type="dxa"/>
      </w:tblCellMar>
    </w:tblPr>
    <w:tblStylePr w:type="firstRow">
      <w:tblPr/>
      <w:tcPr>
        <w:shd w:val="clear" w:color="auto" w:fill="103D64" w:themeFill="text2"/>
      </w:tcPr>
    </w:tblStylePr>
    <w:tblStylePr w:type="lastRow">
      <w:tblPr/>
      <w:tcPr>
        <w:tcBorders>
          <w:top w:val="single" w:sz="4" w:space="0" w:color="888B8D" w:themeColor="accent4"/>
          <w:bottom w:val="single" w:sz="18" w:space="0" w:color="888B8D" w:themeColor="accent4"/>
        </w:tcBorders>
      </w:tcPr>
    </w:tblStylePr>
    <w:tblStylePr w:type="band2Vert">
      <w:tblPr/>
      <w:tcPr>
        <w:shd w:val="clear" w:color="auto" w:fill="D9D9D9" w:themeFill="background1" w:themeFillShade="D9"/>
      </w:tcPr>
    </w:tblStylePr>
  </w:style>
  <w:style w:type="paragraph" w:customStyle="1" w:styleId="Tableheadfinancials">
    <w:name w:val="Table head financials"/>
    <w:basedOn w:val="Tablehead"/>
    <w:rsid w:val="001169EC"/>
    <w:rPr>
      <w:rFonts w:ascii="Arial" w:hAnsi="Arial"/>
      <w:bCs/>
      <w:sz w:val="17"/>
    </w:rPr>
  </w:style>
  <w:style w:type="paragraph" w:customStyle="1" w:styleId="TableheadfinancialsRightaligned">
    <w:name w:val="Table head financials Right aligned"/>
    <w:basedOn w:val="Tableheadfinancials"/>
    <w:rsid w:val="001169EC"/>
    <w:pPr>
      <w:jc w:val="right"/>
    </w:pPr>
  </w:style>
  <w:style w:type="paragraph" w:styleId="ListBullet2">
    <w:name w:val="List Bullet 2"/>
    <w:basedOn w:val="ListBullet"/>
    <w:rsid w:val="00864EB0"/>
    <w:pPr>
      <w:numPr>
        <w:numId w:val="9"/>
      </w:numPr>
      <w:tabs>
        <w:tab w:val="left" w:pos="170"/>
        <w:tab w:val="left" w:pos="340"/>
      </w:tabs>
      <w:autoSpaceDE w:val="0"/>
      <w:autoSpaceDN w:val="0"/>
      <w:adjustRightInd w:val="0"/>
      <w:spacing w:before="120" w:after="40"/>
      <w:ind w:left="0" w:firstLine="0"/>
      <w:contextualSpacing w:val="0"/>
    </w:pPr>
    <w:rPr>
      <w:rFonts w:ascii="Arial" w:eastAsia="Times New Roman" w:hAnsi="Arial" w:cs="HelveticaNeue-Light"/>
      <w:kern w:val="0"/>
      <w:sz w:val="18"/>
      <w:szCs w:val="18"/>
      <w:lang w:eastAsia="en-AU"/>
      <w14:ligatures w14:val="none"/>
    </w:rPr>
  </w:style>
  <w:style w:type="paragraph" w:customStyle="1" w:styleId="Bullet2">
    <w:name w:val="Bullet 2"/>
    <w:basedOn w:val="Normal"/>
    <w:uiPriority w:val="2"/>
    <w:qFormat/>
    <w:rsid w:val="00325AF1"/>
    <w:pPr>
      <w:numPr>
        <w:ilvl w:val="1"/>
        <w:numId w:val="8"/>
      </w:numPr>
      <w:spacing w:after="0" w:line="240" w:lineRule="auto"/>
    </w:pPr>
    <w:rPr>
      <w:rFonts w:ascii="Arial" w:eastAsia="Times New Roman" w:hAnsi="Arial" w:cs="Calibri"/>
      <w:spacing w:val="2"/>
      <w:kern w:val="0"/>
      <w:sz w:val="18"/>
      <w:szCs w:val="20"/>
      <w:lang w:eastAsia="en-AU"/>
      <w14:ligatures w14:val="none"/>
    </w:rPr>
  </w:style>
  <w:style w:type="paragraph" w:customStyle="1" w:styleId="Bullet3">
    <w:name w:val="Bullet 3"/>
    <w:basedOn w:val="Bullet2"/>
    <w:uiPriority w:val="11"/>
    <w:semiHidden/>
    <w:rsid w:val="00C508BC"/>
    <w:pPr>
      <w:numPr>
        <w:ilvl w:val="2"/>
      </w:numPr>
      <w:tabs>
        <w:tab w:val="num" w:pos="1077"/>
      </w:tabs>
    </w:pPr>
  </w:style>
  <w:style w:type="paragraph" w:customStyle="1" w:styleId="ARBodyST">
    <w:name w:val="AR Body_ST"/>
    <w:link w:val="ARBodySTChar"/>
    <w:autoRedefine/>
    <w:qFormat/>
    <w:rsid w:val="00C508BC"/>
    <w:pPr>
      <w:pBdr>
        <w:top w:val="nil"/>
        <w:left w:val="nil"/>
        <w:bottom w:val="nil"/>
        <w:right w:val="nil"/>
        <w:between w:val="nil"/>
        <w:bar w:val="nil"/>
      </w:pBdr>
      <w:spacing w:before="120" w:after="200" w:line="240" w:lineRule="auto"/>
    </w:pPr>
    <w:rPr>
      <w:rFonts w:ascii="Arial" w:hAnsi="Arial" w:cs="Arial"/>
      <w:snapToGrid w:val="0"/>
      <w:color w:val="000000" w:themeColor="text1"/>
      <w:kern w:val="0"/>
      <w:bdr w:val="nil"/>
      <w:lang w:eastAsia="en-AU"/>
      <w14:ligatures w14:val="none"/>
    </w:rPr>
  </w:style>
  <w:style w:type="character" w:customStyle="1" w:styleId="ARBodySTChar">
    <w:name w:val="AR Body_ST Char"/>
    <w:basedOn w:val="DefaultParagraphFont"/>
    <w:link w:val="ARBodyST"/>
    <w:rsid w:val="00C508BC"/>
    <w:rPr>
      <w:rFonts w:ascii="Arial" w:hAnsi="Arial" w:cs="Arial"/>
      <w:snapToGrid w:val="0"/>
      <w:color w:val="000000" w:themeColor="text1"/>
      <w:kern w:val="0"/>
      <w:bdr w:val="nil"/>
      <w:lang w:eastAsia="en-AU"/>
      <w14:ligatures w14:val="none"/>
    </w:rPr>
  </w:style>
  <w:style w:type="paragraph" w:customStyle="1" w:styleId="Bullet1">
    <w:name w:val="Bullet 1"/>
    <w:uiPriority w:val="2"/>
    <w:qFormat/>
    <w:rsid w:val="00864EB0"/>
    <w:pPr>
      <w:spacing w:before="120" w:after="0" w:line="240" w:lineRule="auto"/>
    </w:pPr>
    <w:rPr>
      <w:rFonts w:ascii="Arial" w:eastAsia="Times New Roman" w:hAnsi="Arial" w:cs="Calibri"/>
      <w:spacing w:val="2"/>
      <w:kern w:val="0"/>
      <w:sz w:val="18"/>
      <w:szCs w:val="20"/>
      <w:lang w:eastAsia="en-AU"/>
      <w14:ligatures w14:val="none"/>
    </w:rPr>
  </w:style>
  <w:style w:type="paragraph" w:styleId="ListBullet">
    <w:name w:val="List Bullet"/>
    <w:basedOn w:val="Normal"/>
    <w:uiPriority w:val="99"/>
    <w:semiHidden/>
    <w:unhideWhenUsed/>
    <w:rsid w:val="00864EB0"/>
    <w:pPr>
      <w:contextualSpacing/>
    </w:pPr>
  </w:style>
  <w:style w:type="character" w:styleId="UnresolvedMention">
    <w:name w:val="Unresolved Mention"/>
    <w:basedOn w:val="DefaultParagraphFont"/>
    <w:uiPriority w:val="99"/>
    <w:semiHidden/>
    <w:unhideWhenUsed/>
    <w:rsid w:val="00BD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vrqa.vic.gov.au/vrqa-annual-repor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vrqa.vic.gov.au/vrqa-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2.vrqa.vic.gov.au/vrqa-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vrqa.vic.gov.au/fees" TargetMode="External"/></Relationships>
</file>

<file path=word/theme/theme1.xml><?xml version="1.0" encoding="utf-8"?>
<a:theme xmlns:a="http://schemas.openxmlformats.org/drawingml/2006/main" name="Office Theme">
  <a:themeElements>
    <a:clrScheme name="VRQA">
      <a:dk1>
        <a:sysClr val="windowText" lastClr="000000"/>
      </a:dk1>
      <a:lt1>
        <a:sysClr val="window" lastClr="FFFFFF"/>
      </a:lt1>
      <a:dk2>
        <a:srgbClr val="103D64"/>
      </a:dk2>
      <a:lt2>
        <a:srgbClr val="007EB3"/>
      </a:lt2>
      <a:accent1>
        <a:srgbClr val="00C1D5"/>
      </a:accent1>
      <a:accent2>
        <a:srgbClr val="B2BC36"/>
      </a:accent2>
      <a:accent3>
        <a:srgbClr val="53565A"/>
      </a:accent3>
      <a:accent4>
        <a:srgbClr val="888B8D"/>
      </a:accent4>
      <a:accent5>
        <a:srgbClr val="000000"/>
      </a:accent5>
      <a:accent6>
        <a:srgbClr val="FFFFFF"/>
      </a:accent6>
      <a:hlink>
        <a:srgbClr val="007EB3"/>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Author xmlns="d1ed743e-d101-4324-8f9f-833553fbefcf" xsi:nil="true"/>
    <DET_EDRMS_Description xmlns="d1ed743e-d101-4324-8f9f-833553fbefcf" xsi:nil="true"/>
    <TaxCatchAll xmlns="d1ed743e-d101-4324-8f9f-833553fbefcf" xsi:nil="true"/>
    <DET_EDRMS_Date xmlns="d1ed743e-d101-4324-8f9f-833553fbefcf" xsi:nil="true"/>
    <Activity xmlns="53cdfd3c-5f4d-4da7-861a-5d4b421bfe10">Annual Report 2024–25</Activity>
    <lcf76f155ced4ddcb4097134ff3c332f xmlns="53cdfd3c-5f4d-4da7-861a-5d4b421bfe10">
      <Terms xmlns="http://schemas.microsoft.com/office/infopath/2007/PartnerControls"/>
    </lcf76f155ced4ddcb4097134ff3c332f>
    <PublishingContactNam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ET Document" ma:contentTypeID="0x010100C58F5F44EA957F49BC3777E5DA585C01006F4E2DC820EF8B4982CA5E2A1CC6556B" ma:contentTypeVersion="29" ma:contentTypeDescription="DET Document" ma:contentTypeScope="" ma:versionID="bf92c603802a9e1b5b021cb8ac84fa44">
  <xsd:schema xmlns:xsd="http://www.w3.org/2001/XMLSchema" xmlns:xs="http://www.w3.org/2001/XMLSchema" xmlns:p="http://schemas.microsoft.com/office/2006/metadata/properties" xmlns:ns1="http://schemas.microsoft.com/sharepoint/v3" xmlns:ns2="d1ed743e-d101-4324-8f9f-833553fbefcf" xmlns:ns3="53cdfd3c-5f4d-4da7-861a-5d4b421bfe10" targetNamespace="http://schemas.microsoft.com/office/2006/metadata/properties" ma:root="true" ma:fieldsID="0304f1c02b21b0f5f2346071161ccb97" ns1:_="" ns2:_="" ns3:_="">
    <xsd:import namespace="http://schemas.microsoft.com/sharepoint/v3"/>
    <xsd:import namespace="d1ed743e-d101-4324-8f9f-833553fbefcf"/>
    <xsd:import namespace="53cdfd3c-5f4d-4da7-861a-5d4b421bfe10"/>
    <xsd:element name="properties">
      <xsd:complexType>
        <xsd:sequence>
          <xsd:element name="documentManagement">
            <xsd:complexType>
              <xsd:all>
                <xsd:element ref="ns2:DET_EDRMS_Date" minOccurs="0"/>
                <xsd:element ref="ns2:DET_EDRMS_Author" minOccurs="0"/>
                <xsd:element ref="ns2:TaxCatchAll" minOccurs="0"/>
                <xsd:element ref="ns2:DET_EDRMS_Description" minOccurs="0"/>
                <xsd:element ref="ns1:PublishingContactName" minOccurs="0"/>
                <xsd:element ref="ns3:Activity"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2"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d743e-d101-4324-8f9f-833553fbefcf"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TaxCatchAll" ma:index="10" nillable="true" ma:displayName="Taxonomy Catch All Column" ma:hidden="true" ma:list="{769f5f6b-d152-4e55-9d1d-ee71cc71a81a}" ma:internalName="TaxCatchAll" ma:readOnly="false" ma:showField="CatchAllData" ma:web="d1ed743e-d101-4324-8f9f-833553fbefcf">
      <xsd:complexType>
        <xsd:complexContent>
          <xsd:extension base="dms:MultiChoiceLookup">
            <xsd:sequence>
              <xsd:element name="Value" type="dms:Lookup" maxOccurs="unbounded" minOccurs="0" nillable="true"/>
            </xsd:sequence>
          </xsd:extension>
        </xsd:complexContent>
      </xsd:complexType>
    </xsd:element>
    <xsd:element name="DET_EDRMS_Description" ma:index="11" nillable="true" ma:displayName="Document Description" ma:hidden="true" ma:internalName="DET_EDRMS_Description" ma:readOnly="false">
      <xsd:simpleType>
        <xsd:restriction base="dms:Note"/>
      </xsd:simpleType>
    </xsd:element>
    <xsd:element name="TaxCatchAllLabel" ma:index="14" nillable="true" ma:displayName="Taxonomy Catch All Column1" ma:hidden="true" ma:list="{769f5f6b-d152-4e55-9d1d-ee71cc71a81a}" ma:internalName="TaxCatchAllLabel" ma:readOnly="true" ma:showField="CatchAllDataLabel" ma:web="d1ed743e-d101-4324-8f9f-833553fbe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cdfd3c-5f4d-4da7-861a-5d4b421bfe10" elementFormDefault="qualified">
    <xsd:import namespace="http://schemas.microsoft.com/office/2006/documentManagement/types"/>
    <xsd:import namespace="http://schemas.microsoft.com/office/infopath/2007/PartnerControls"/>
    <xsd:element name="Activity" ma:index="13" nillable="true" ma:displayName="Activity" ma:format="Dropdown" ma:internalName="Activity">
      <xsd:simpleType>
        <xsd:restriction base="dms:Choice">
          <xsd:enumeration value="Archive of Annual Reports 2007-09 to 2021-22"/>
          <xsd:enumeration value="Briefings and PPQs 2022–23"/>
          <xsd:enumeration value="Annual Report 2022-23"/>
          <xsd:enumeration value="Briefings and PPQs 2021–22"/>
          <xsd:enumeration value="Annual Report 2021-22"/>
          <xsd:enumeration value="Briefings and PPQs 2020–21"/>
          <xsd:enumeration value="Financials Annual Report 2020-21"/>
          <xsd:enumeration value="Annual Report 2020-21"/>
          <xsd:enumeration value="Annual Report 2019-20"/>
          <xsd:enumeration value="Report of operations 2019–20"/>
          <xsd:enumeration value="Financials Annual Report 2019–20"/>
          <xsd:enumeration value="Briefings and PPQs 2019–20"/>
          <xsd:enumeration value="Annual Report 2018-19"/>
          <xsd:enumeration value="Report of operations 2018–19"/>
          <xsd:enumeration value="Financials Annual Report 2018-19"/>
          <xsd:enumeration value="Briefings and PPQs 2018–19"/>
          <xsd:enumeration value="Annual Report 2017-18"/>
          <xsd:enumeration value="Report of operations 2017–18"/>
          <xsd:enumeration value="Financials Annual Report 2017-18"/>
          <xsd:enumeration value="Briefings and PPQs 2017–18"/>
          <xsd:enumeration value="Report of Operations Annual Report 2016-17"/>
          <xsd:enumeration value="Financials Annual Report 2016-17"/>
          <xsd:enumeration value="Briefings and PPQs Annual Report 2016-17"/>
          <xsd:enumeration value="Annual Report 2015-16"/>
          <xsd:enumeration value="Report of Operations Annual Report 2015-16"/>
          <xsd:enumeration value="Report of Operations Email Correspondence Annual Report 2015-16"/>
          <xsd:enumeration value="Briefings and PPQs Annual Report 2015-16"/>
          <xsd:enumeration value="Financials Annual Report 2015-16"/>
          <xsd:enumeration value="Financials Email Correspondence Annual Report 2015-16"/>
          <xsd:enumeration value="Additional Information Annual Report 2015-16"/>
          <xsd:enumeration value="Annual Report 2014-15"/>
          <xsd:enumeration value="Annual Report 2023-24"/>
          <xsd:enumeration value="Briefings and PPQs Annual Report 2023-24"/>
          <xsd:enumeration value="Annual Report 2024–25"/>
          <xsd:enumeration value="Briefings and PPQs Annual Report 2024-2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D0B00-925A-4A5E-B07F-F3971B0AD88B}">
  <ds:schemaRefs>
    <ds:schemaRef ds:uri="http://purl.org/dc/dcmitype/"/>
    <ds:schemaRef ds:uri="http://schemas.microsoft.com/office/2006/metadata/properties"/>
    <ds:schemaRef ds:uri="http://purl.org/dc/terms/"/>
    <ds:schemaRef ds:uri="http://www.w3.org/XML/1998/namespace"/>
    <ds:schemaRef ds:uri="d1ed743e-d101-4324-8f9f-833553fbefcf"/>
    <ds:schemaRef ds:uri="http://schemas.openxmlformats.org/package/2006/metadata/core-properties"/>
    <ds:schemaRef ds:uri="53cdfd3c-5f4d-4da7-861a-5d4b421bfe10"/>
    <ds:schemaRef ds:uri="http://purl.org/dc/elements/1.1/"/>
    <ds:schemaRef ds:uri="http://schemas.microsoft.com/office/2006/documentManagement/typ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FD670D-35A2-3642-9EB4-0DF185F737C5}">
  <ds:schemaRefs>
    <ds:schemaRef ds:uri="http://schemas.openxmlformats.org/officeDocument/2006/bibliography"/>
  </ds:schemaRefs>
</ds:datastoreItem>
</file>

<file path=customXml/itemProps3.xml><?xml version="1.0" encoding="utf-8"?>
<ds:datastoreItem xmlns:ds="http://schemas.openxmlformats.org/officeDocument/2006/customXml" ds:itemID="{AEA83561-410B-472A-95A1-C4897E4D73A7}">
  <ds:schemaRefs>
    <ds:schemaRef ds:uri="http://schemas.microsoft.com/sharepoint/v3/contenttype/forms"/>
  </ds:schemaRefs>
</ds:datastoreItem>
</file>

<file path=customXml/itemProps4.xml><?xml version="1.0" encoding="utf-8"?>
<ds:datastoreItem xmlns:ds="http://schemas.openxmlformats.org/officeDocument/2006/customXml" ds:itemID="{3C222451-D693-4433-A1AD-C99602A80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ed743e-d101-4324-8f9f-833553fbefcf"/>
    <ds:schemaRef ds:uri="53cdfd3c-5f4d-4da7-861a-5d4b421bf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Scott 2</dc:creator>
  <cp:keywords/>
  <dc:description/>
  <cp:lastModifiedBy>Ashling Cardwell</cp:lastModifiedBy>
  <cp:revision>68</cp:revision>
  <cp:lastPrinted>2025-10-13T05:21:00Z</cp:lastPrinted>
  <dcterms:created xsi:type="dcterms:W3CDTF">2025-09-30T01:10:00Z</dcterms:created>
  <dcterms:modified xsi:type="dcterms:W3CDTF">2025-10-13T05:21:00Z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0x010100C58F5F44EA957F49BC3777E5DA585C01006F4E2DC820EF8B4982CA5E2A1CC6556B</vt:lpwstr>
  </property>
  <property fmtid="{D5CDD505-2E9C-101B-9397-08002B2CF9AE}" pid="3" name="MediaServiceImageTags">
    <vt:lpwstr/>
  </property>
</Properties>
</file>